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8367A">
      <w:pPr>
        <w:pStyle w:val="2"/>
        <w:numPr>
          <w:ilvl w:val="0"/>
          <w:numId w:val="0"/>
        </w:numPr>
        <w:spacing w:before="163" w:after="163"/>
        <w:ind w:leftChars="0"/>
        <w:jc w:val="center"/>
        <w:rPr>
          <w:rFonts w:hint="eastAsia" w:ascii="宋体" w:hAnsi="宋体" w:cs="宋体"/>
          <w:b/>
          <w:bCs w:val="0"/>
          <w:sz w:val="36"/>
          <w:szCs w:val="36"/>
          <w:lang w:val="en-US" w:eastAsia="zh-CN"/>
        </w:rPr>
      </w:pPr>
      <w:bookmarkStart w:id="0" w:name="_Toc191292914"/>
      <w:r>
        <w:rPr>
          <w:rFonts w:hint="eastAsia" w:ascii="宋体" w:hAnsi="宋体" w:cs="宋体"/>
          <w:b/>
          <w:bCs w:val="0"/>
          <w:sz w:val="36"/>
          <w:szCs w:val="36"/>
          <w:lang w:val="en-US" w:eastAsia="zh-CN"/>
        </w:rPr>
        <w:t>广西中医药大学附属瑞康医院</w:t>
      </w:r>
    </w:p>
    <w:p w14:paraId="6F94AB59">
      <w:pPr>
        <w:pStyle w:val="2"/>
        <w:numPr>
          <w:ilvl w:val="0"/>
          <w:numId w:val="0"/>
        </w:numPr>
        <w:spacing w:before="163" w:after="163"/>
        <w:ind w:leftChars="0"/>
        <w:jc w:val="center"/>
        <w:rPr>
          <w:rFonts w:hint="default" w:ascii="宋体" w:hAnsi="宋体" w:cs="宋体"/>
          <w:lang w:val="en-US" w:eastAsia="zh-CN"/>
        </w:rPr>
      </w:pPr>
      <w:r>
        <w:rPr>
          <w:rFonts w:hint="eastAsia" w:ascii="宋体" w:hAnsi="宋体" w:cs="宋体"/>
          <w:b/>
          <w:bCs w:val="0"/>
          <w:sz w:val="36"/>
          <w:szCs w:val="36"/>
          <w:lang w:val="en-US" w:eastAsia="zh-CN"/>
        </w:rPr>
        <w:t>中医药+人工智能项目需求</w:t>
      </w:r>
    </w:p>
    <w:p w14:paraId="427E48C9">
      <w:pPr>
        <w:pStyle w:val="2"/>
        <w:numPr>
          <w:ilvl w:val="0"/>
          <w:numId w:val="0"/>
        </w:numPr>
        <w:spacing w:before="163" w:after="163"/>
        <w:ind w:leftChars="0"/>
        <w:rPr>
          <w:rFonts w:hint="default" w:ascii="宋体" w:hAnsi="宋体" w:eastAsia="宋体" w:cs="宋体"/>
          <w:lang w:val="en-US" w:eastAsia="zh-CN"/>
        </w:rPr>
      </w:pPr>
      <w:r>
        <w:rPr>
          <w:rFonts w:hint="eastAsia" w:ascii="宋体" w:hAnsi="宋体" w:cs="宋体"/>
          <w:color w:val="FF0000"/>
          <w:lang w:val="en-US" w:eastAsia="zh-CN"/>
        </w:rPr>
        <w:t>软件部分：</w:t>
      </w:r>
    </w:p>
    <w:bookmarkEnd w:id="0"/>
    <w:p w14:paraId="63E23163">
      <w:pPr>
        <w:pStyle w:val="2"/>
        <w:numPr>
          <w:numId w:val="0"/>
        </w:numPr>
        <w:spacing w:before="163" w:after="163"/>
        <w:ind w:leftChars="0"/>
        <w:rPr>
          <w:rFonts w:hint="eastAsia"/>
        </w:rPr>
      </w:pPr>
      <w:r>
        <w:rPr>
          <w:rFonts w:hint="eastAsia" w:ascii="宋体" w:hAnsi="宋体" w:cs="宋体"/>
          <w:b/>
          <w:bCs w:val="0"/>
          <w:color w:val="FF0000"/>
          <w:sz w:val="30"/>
          <w:szCs w:val="30"/>
          <w:lang w:val="en-US" w:eastAsia="zh-CN"/>
        </w:rPr>
        <w:t>（一）、</w:t>
      </w:r>
      <w:r>
        <w:rPr>
          <w:rFonts w:hint="eastAsia" w:ascii="宋体" w:hAnsi="宋体" w:cs="宋体"/>
          <w:b/>
          <w:bCs w:val="0"/>
          <w:sz w:val="30"/>
          <w:szCs w:val="30"/>
          <w:lang w:val="en-US" w:eastAsia="zh-CN"/>
        </w:rPr>
        <w:t>中医药+人工智能</w:t>
      </w:r>
      <w:r>
        <w:rPr>
          <w:rFonts w:hint="eastAsia" w:ascii="宋体" w:hAnsi="宋体" w:cs="宋体"/>
          <w:sz w:val="30"/>
          <w:szCs w:val="30"/>
        </w:rPr>
        <w:t>软件</w:t>
      </w:r>
      <w:r>
        <w:rPr>
          <w:rFonts w:hint="eastAsia" w:ascii="宋体" w:hAnsi="宋体" w:cs="宋体"/>
          <w:sz w:val="30"/>
          <w:szCs w:val="30"/>
          <w:lang w:val="en-US" w:eastAsia="zh-CN"/>
        </w:rPr>
        <w:t>平台</w:t>
      </w:r>
      <w:r>
        <w:rPr>
          <w:rFonts w:hint="eastAsia" w:ascii="宋体" w:hAnsi="宋体" w:cs="宋体"/>
          <w:sz w:val="30"/>
          <w:szCs w:val="30"/>
        </w:rPr>
        <w:t>：</w:t>
      </w:r>
    </w:p>
    <w:p w14:paraId="49581F3B">
      <w:pPr>
        <w:pStyle w:val="22"/>
        <w:ind w:left="0" w:leftChars="0" w:firstLine="0" w:firstLineChars="0"/>
        <w:jc w:val="center"/>
        <w:rPr>
          <w:rFonts w:hint="eastAsia"/>
        </w:rPr>
      </w:pPr>
    </w:p>
    <w:tbl>
      <w:tblPr>
        <w:tblStyle w:val="24"/>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69"/>
        <w:gridCol w:w="8456"/>
      </w:tblGrid>
      <w:tr w14:paraId="1595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1" w:type="dxa"/>
          </w:tcPr>
          <w:p w14:paraId="46D69B41">
            <w:pPr>
              <w:widowControl/>
              <w:spacing w:line="400" w:lineRule="exact"/>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序号</w:t>
            </w:r>
          </w:p>
        </w:tc>
        <w:tc>
          <w:tcPr>
            <w:tcW w:w="1569" w:type="dxa"/>
            <w:shd w:val="clear" w:color="auto" w:fill="auto"/>
            <w:noWrap/>
            <w:vAlign w:val="center"/>
          </w:tcPr>
          <w:p w14:paraId="5F768088">
            <w:pPr>
              <w:widowControl/>
              <w:spacing w:line="400" w:lineRule="exact"/>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系统模块</w:t>
            </w:r>
          </w:p>
        </w:tc>
        <w:tc>
          <w:tcPr>
            <w:tcW w:w="8456" w:type="dxa"/>
            <w:shd w:val="clear" w:color="auto" w:fill="auto"/>
            <w:noWrap/>
            <w:vAlign w:val="center"/>
          </w:tcPr>
          <w:p w14:paraId="228DD2DE">
            <w:pPr>
              <w:widowControl/>
              <w:spacing w:line="400" w:lineRule="exact"/>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rPr>
              <w:t>功能</w:t>
            </w:r>
            <w:r>
              <w:rPr>
                <w:rFonts w:hint="eastAsia" w:ascii="宋体" w:hAnsi="宋体" w:cs="宋体"/>
                <w:b w:val="0"/>
                <w:bCs w:val="0"/>
                <w:color w:val="000000"/>
                <w:kern w:val="0"/>
                <w:sz w:val="20"/>
                <w:szCs w:val="20"/>
                <w:lang w:val="en-US" w:eastAsia="zh-CN"/>
              </w:rPr>
              <w:t>要求</w:t>
            </w:r>
          </w:p>
        </w:tc>
      </w:tr>
      <w:tr w14:paraId="0F6C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1" w:type="dxa"/>
            <w:vAlign w:val="center"/>
          </w:tcPr>
          <w:p w14:paraId="06B3729A">
            <w:pPr>
              <w:pStyle w:val="28"/>
              <w:widowControl/>
              <w:numPr>
                <w:ilvl w:val="0"/>
                <w:numId w:val="0"/>
              </w:numPr>
              <w:spacing w:line="400" w:lineRule="exact"/>
              <w:ind w:left="440" w:leftChars="0" w:hanging="440" w:firstLineChars="0"/>
              <w:jc w:val="center"/>
              <w:rPr>
                <w:rFonts w:hint="eastAsia" w:ascii="宋体" w:hAnsi="宋体" w:cs="宋体"/>
                <w:color w:val="000000"/>
                <w:kern w:val="0"/>
                <w:szCs w:val="24"/>
              </w:rPr>
            </w:pPr>
            <w:r>
              <w:rPr>
                <w:rFonts w:hint="eastAsia" w:ascii="宋体" w:hAnsi="宋体" w:eastAsia="宋体" w:cs="宋体"/>
                <w:color w:val="000000"/>
                <w:kern w:val="0"/>
                <w:sz w:val="24"/>
                <w:szCs w:val="24"/>
                <w:lang w:val="en-US" w:eastAsia="zh-CN" w:bidi="ar-SA"/>
              </w:rPr>
              <w:t>1</w:t>
            </w:r>
          </w:p>
        </w:tc>
        <w:tc>
          <w:tcPr>
            <w:tcW w:w="1569" w:type="dxa"/>
            <w:shd w:val="clear" w:color="auto" w:fill="auto"/>
            <w:noWrap/>
            <w:vAlign w:val="center"/>
          </w:tcPr>
          <w:p w14:paraId="724C943B">
            <w:pPr>
              <w:keepNext w:val="0"/>
              <w:keepLines w:val="0"/>
              <w:widowControl/>
              <w:suppressLineNumbers w:val="0"/>
              <w:jc w:val="center"/>
              <w:textAlignment w:val="center"/>
              <w:rPr>
                <w:rFonts w:hint="eastAsia" w:ascii="宋体" w:hAnsi="宋体" w:cs="宋体"/>
                <w:color w:val="EE0000"/>
                <w:kern w:val="0"/>
                <w:szCs w:val="24"/>
              </w:rPr>
            </w:pPr>
            <w:r>
              <w:rPr>
                <w:rFonts w:hint="eastAsia" w:ascii="宋体" w:hAnsi="宋体" w:eastAsia="宋体" w:cs="宋体"/>
                <w:i w:val="0"/>
                <w:iCs w:val="0"/>
                <w:color w:val="000000"/>
                <w:kern w:val="0"/>
                <w:sz w:val="22"/>
                <w:szCs w:val="22"/>
                <w:u w:val="none"/>
                <w:lang w:val="en-US" w:eastAsia="zh-CN" w:bidi="ar"/>
              </w:rPr>
              <w:t>基础管理系统</w:t>
            </w:r>
          </w:p>
        </w:tc>
        <w:tc>
          <w:tcPr>
            <w:tcW w:w="8456" w:type="dxa"/>
            <w:shd w:val="clear" w:color="auto" w:fill="auto"/>
            <w:vAlign w:val="center"/>
          </w:tcPr>
          <w:p w14:paraId="19ACDCDD">
            <w:pPr>
              <w:widowControl/>
              <w:spacing w:line="400" w:lineRule="exact"/>
              <w:rPr>
                <w:rFonts w:hint="eastAsia" w:cs="宋体" w:asciiTheme="minorEastAsia" w:hAnsiTheme="minorEastAsia"/>
                <w:color w:val="auto"/>
                <w:kern w:val="0"/>
                <w:sz w:val="22"/>
                <w:szCs w:val="22"/>
                <w:highlight w:val="none"/>
                <w:lang w:val="en-US" w:eastAsia="zh-CN"/>
              </w:rPr>
            </w:pPr>
            <w:r>
              <w:rPr>
                <w:rFonts w:hint="eastAsia" w:cs="宋体" w:asciiTheme="minorEastAsia" w:hAnsiTheme="minorEastAsia"/>
                <w:color w:val="auto"/>
                <w:kern w:val="0"/>
                <w:sz w:val="22"/>
                <w:szCs w:val="22"/>
                <w:highlight w:val="none"/>
                <w:lang w:val="en-US" w:eastAsia="zh-CN"/>
              </w:rPr>
              <w:t>提供功能菜单管理、岗位管理、参数配置、账号权限管理、角色管理、团队管理、部门管理、消息模板管理、接口管理。</w:t>
            </w:r>
          </w:p>
        </w:tc>
      </w:tr>
      <w:tr w14:paraId="29A5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7F9DEEA0">
            <w:pPr>
              <w:pStyle w:val="28"/>
              <w:widowControl/>
              <w:numPr>
                <w:ilvl w:val="0"/>
                <w:numId w:val="0"/>
              </w:numPr>
              <w:spacing w:line="400" w:lineRule="exact"/>
              <w:ind w:left="440" w:leftChars="0" w:hanging="440" w:firstLineChars="0"/>
              <w:jc w:val="center"/>
              <w:rPr>
                <w:rFonts w:hint="eastAsia" w:ascii="宋体" w:hAnsi="宋体" w:cs="宋体"/>
                <w:color w:val="000000"/>
                <w:kern w:val="0"/>
                <w:szCs w:val="24"/>
              </w:rPr>
            </w:pPr>
            <w:r>
              <w:rPr>
                <w:rFonts w:hint="eastAsia" w:ascii="宋体" w:hAnsi="宋体" w:eastAsia="宋体" w:cs="宋体"/>
                <w:color w:val="000000"/>
                <w:kern w:val="0"/>
                <w:sz w:val="24"/>
                <w:szCs w:val="24"/>
                <w:lang w:val="en-US" w:eastAsia="zh-CN" w:bidi="ar-SA"/>
              </w:rPr>
              <w:t>2</w:t>
            </w:r>
          </w:p>
        </w:tc>
        <w:tc>
          <w:tcPr>
            <w:tcW w:w="1569" w:type="dxa"/>
            <w:shd w:val="clear" w:color="auto" w:fill="auto"/>
            <w:noWrap/>
            <w:vAlign w:val="center"/>
          </w:tcPr>
          <w:p w14:paraId="0B59D12E">
            <w:pPr>
              <w:keepNext w:val="0"/>
              <w:keepLines w:val="0"/>
              <w:widowControl/>
              <w:suppressLineNumbers w:val="0"/>
              <w:jc w:val="center"/>
              <w:textAlignment w:val="center"/>
              <w:rPr>
                <w:rFonts w:hint="eastAsia" w:ascii="宋体" w:hAnsi="宋体" w:cs="宋体"/>
                <w:color w:val="EE0000"/>
                <w:kern w:val="0"/>
                <w:szCs w:val="24"/>
              </w:rPr>
            </w:pPr>
            <w:r>
              <w:rPr>
                <w:rFonts w:hint="eastAsia" w:ascii="宋体" w:hAnsi="宋体" w:eastAsia="宋体" w:cs="宋体"/>
                <w:i w:val="0"/>
                <w:iCs w:val="0"/>
                <w:color w:val="000000"/>
                <w:kern w:val="0"/>
                <w:sz w:val="22"/>
                <w:szCs w:val="22"/>
                <w:u w:val="none"/>
                <w:lang w:val="en-US" w:eastAsia="zh-CN" w:bidi="ar"/>
              </w:rPr>
              <w:t>医护业务系统</w:t>
            </w:r>
          </w:p>
        </w:tc>
        <w:tc>
          <w:tcPr>
            <w:tcW w:w="8456" w:type="dxa"/>
            <w:shd w:val="clear" w:color="auto" w:fill="auto"/>
            <w:vAlign w:val="center"/>
          </w:tcPr>
          <w:p w14:paraId="7994E0D6">
            <w:pPr>
              <w:widowControl/>
              <w:spacing w:line="400" w:lineRule="exact"/>
              <w:rPr>
                <w:rFonts w:hint="eastAsia" w:cs="宋体" w:asciiTheme="minorEastAsia" w:hAnsiTheme="minorEastAsia"/>
                <w:color w:val="auto"/>
                <w:kern w:val="0"/>
                <w:sz w:val="22"/>
                <w:szCs w:val="22"/>
                <w:highlight w:val="none"/>
                <w:lang w:val="en-US" w:eastAsia="zh-CN"/>
              </w:rPr>
            </w:pPr>
            <w:r>
              <w:rPr>
                <w:rFonts w:hint="eastAsia" w:cs="宋体" w:asciiTheme="minorEastAsia" w:hAnsiTheme="minorEastAsia"/>
                <w:b/>
                <w:bCs/>
                <w:color w:val="auto"/>
                <w:kern w:val="0"/>
                <w:sz w:val="22"/>
                <w:szCs w:val="22"/>
                <w:highlight w:val="none"/>
                <w:lang w:val="en-US" w:eastAsia="zh-CN"/>
              </w:rPr>
              <w:t>1.医生工作台</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1.1 健康监测提醒：临床指标的动态变化时提醒；</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1.2 业务数展示：待办事项、动态提醒、监测数据一览、各管理人群的分类统计数据等；</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1.3 支持查看患者执行的各类健康打卡任务结果；</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1.4 支持查看患者上传的舌面像记录数据与相关的图片。</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2. 档案管理：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2.1 提供在线建档与档案完善功能，支持从HIS系统获取诊疗信息，支持手工建档；</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2.2 支持多条件筛选与浏览。</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3. 健康管理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3.1 干预管理：与HIS系统打通，可一健获取接诊记录，可持续完善患者健康档案；</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3.2 就诊记录：可从 HIS 系统获取患者的就诊数据，包括门诊病历、处方、检验检查报告；</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3.3 健康指导文书书写：可书写患者就诊的各类体质个体化健康指导，支持模板调用与管理，支持文书格式化打印与导出；（需提供操作界面截图并加盖投标人公章）</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3.4 下达干预措施：能以时间轴的方式展示患者历史干预措施与执行结果，可单独下达各类干预任务并配置相应的频率、执行时间、执行周期等信息；</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3.5 体质测评量表：可查看体质测评量表的内容和分值情况，并以图表方式展示；（需提供操作界面截图并加盖投标人公章）</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3.6 指标监测数据：以图表的方式展示各类生命体征数据也变化情况；</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3.7 疗效评估：阶段性评估健康管理成效。</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4. 人群分组管理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 xml:space="preserve">   提供患者分组标签化管理。医护人员可以自定义标签类型，方便医生管理，批量对分组患者进行干预管理推送。</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5. 诊后管理：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5.1 随访问卷：提供管理人群问卷管理与分析评估；</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5.2 宣教干预：提供管理人群的宣教内容与执行情况；</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5.3 监测干预：提供管理人群的监测干预内容与执行情况；</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5.4 分组干预：提供管理人群的批量干预与精准干预管理；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6. 随访工作台：</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6.1 业务数展示：建档数与累计数、随访人数与累计数展示、干预动态展示等；</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6.2 诊后随访看板：展示一段时间内的各项健康任务开展与完成情况；</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6.3 统计图表：展示各项工作指导趋势、满意度调查情况、评价分析等数据。</w:t>
            </w:r>
          </w:p>
          <w:p w14:paraId="1299EF46">
            <w:pPr>
              <w:widowControl/>
              <w:spacing w:line="400" w:lineRule="exact"/>
              <w:rPr>
                <w:rFonts w:hint="default" w:cs="宋体" w:asciiTheme="minorEastAsia" w:hAnsiTheme="minorEastAsia"/>
                <w:color w:val="auto"/>
                <w:kern w:val="0"/>
                <w:sz w:val="22"/>
                <w:szCs w:val="22"/>
                <w:highlight w:val="none"/>
                <w:lang w:val="en-US" w:eastAsia="zh-CN"/>
              </w:rPr>
            </w:pPr>
            <w:r>
              <w:rPr>
                <w:rFonts w:hint="eastAsia" w:cs="宋体" w:asciiTheme="minorEastAsia" w:hAnsiTheme="minorEastAsia"/>
                <w:b/>
                <w:bCs/>
                <w:color w:val="auto"/>
                <w:kern w:val="0"/>
                <w:sz w:val="22"/>
                <w:szCs w:val="22"/>
                <w:highlight w:val="none"/>
                <w:lang w:val="en-US" w:eastAsia="zh-CN"/>
              </w:rPr>
              <w:t>7.应用环境：支持PC端、移动端使用</w:t>
            </w:r>
          </w:p>
        </w:tc>
      </w:tr>
      <w:tr w14:paraId="5490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0D3E6D39">
            <w:pPr>
              <w:pStyle w:val="28"/>
              <w:widowControl/>
              <w:numPr>
                <w:ilvl w:val="0"/>
                <w:numId w:val="0"/>
              </w:numPr>
              <w:spacing w:line="400" w:lineRule="exact"/>
              <w:ind w:left="440" w:leftChars="0" w:hanging="440" w:firstLineChars="0"/>
              <w:jc w:val="center"/>
              <w:rPr>
                <w:rFonts w:hint="eastAsia" w:ascii="宋体" w:hAnsi="宋体" w:cs="宋体"/>
                <w:color w:val="000000"/>
                <w:kern w:val="0"/>
                <w:szCs w:val="24"/>
              </w:rPr>
            </w:pPr>
            <w:r>
              <w:rPr>
                <w:rFonts w:hint="eastAsia" w:ascii="宋体" w:hAnsi="宋体" w:eastAsia="宋体" w:cs="宋体"/>
                <w:color w:val="000000"/>
                <w:kern w:val="0"/>
                <w:sz w:val="24"/>
                <w:szCs w:val="24"/>
                <w:lang w:val="en-US" w:eastAsia="zh-CN" w:bidi="ar-SA"/>
              </w:rPr>
              <w:t>3</w:t>
            </w:r>
          </w:p>
        </w:tc>
        <w:tc>
          <w:tcPr>
            <w:tcW w:w="1569" w:type="dxa"/>
            <w:shd w:val="clear" w:color="auto" w:fill="auto"/>
            <w:noWrap/>
            <w:vAlign w:val="center"/>
          </w:tcPr>
          <w:p w14:paraId="053308E3">
            <w:pPr>
              <w:keepNext w:val="0"/>
              <w:keepLines w:val="0"/>
              <w:widowControl/>
              <w:suppressLineNumbers w:val="0"/>
              <w:jc w:val="center"/>
              <w:textAlignment w:val="center"/>
              <w:rPr>
                <w:rFonts w:hint="eastAsia" w:ascii="宋体" w:hAnsi="宋体" w:cs="宋体"/>
                <w:color w:val="EE0000"/>
                <w:kern w:val="0"/>
                <w:szCs w:val="24"/>
              </w:rPr>
            </w:pPr>
            <w:r>
              <w:rPr>
                <w:rFonts w:hint="eastAsia" w:ascii="宋体" w:hAnsi="宋体" w:eastAsia="宋体" w:cs="宋体"/>
                <w:i w:val="0"/>
                <w:iCs w:val="0"/>
                <w:color w:val="000000"/>
                <w:kern w:val="0"/>
                <w:sz w:val="22"/>
                <w:szCs w:val="22"/>
                <w:u w:val="none"/>
                <w:lang w:val="en-US" w:eastAsia="zh-CN" w:bidi="ar"/>
              </w:rPr>
              <w:t>科室管理系统</w:t>
            </w:r>
          </w:p>
        </w:tc>
        <w:tc>
          <w:tcPr>
            <w:tcW w:w="8456" w:type="dxa"/>
            <w:shd w:val="clear" w:color="auto" w:fill="auto"/>
            <w:vAlign w:val="center"/>
          </w:tcPr>
          <w:p w14:paraId="5BD68415">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b/>
                <w:bCs/>
                <w:color w:val="auto"/>
                <w:kern w:val="0"/>
                <w:sz w:val="22"/>
                <w:szCs w:val="22"/>
                <w:highlight w:val="none"/>
                <w:lang w:val="en-US" w:eastAsia="zh-CN"/>
              </w:rPr>
              <w:t>1.管理工作台</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1.1 业务数展示：提供各项综合业务指标数据的展示；</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1.2 图表展示：提供人群分布、二级人群分布、类型统计等数据图表展示；</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1.3 工作量统计：提供各医疗组人员的工作量统计与分类查询。</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2. 统计分析：</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2.1 问卷统计：提供门诊满意度调查问题统计分析、问卷题目分析、门诊服务完善情况明细、体质测评明细等报表，支持导出功能，以便后续相关的数据加工处理工作；</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2.2 医生报表：提供工作量明细、管理人员统计、健康管理任务统计等，报表支持导出功能，以便后续相关的数据加工处理工作；</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2.3 项目报表：提供干预项目明细报表支持导出功能，以便后续相关的数据加工处理工作；</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2.4 人群报表：提供人群体质统计、建档数统计等，报表支持导出功能，以便后续相关的数据加工处理工作。</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3.方案管理：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 xml:space="preserve">   提供科室与个人健康指导方案模板的配置；</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b/>
                <w:bCs/>
                <w:color w:val="auto"/>
                <w:kern w:val="0"/>
                <w:sz w:val="22"/>
                <w:szCs w:val="22"/>
                <w:highlight w:val="none"/>
                <w:lang w:val="en-US" w:eastAsia="zh-CN"/>
              </w:rPr>
              <w:t>4. 知识库管理：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4.1 科普宣教库：支持上传图片、音频、视频等健康资源管理，提供有节气文章、运动养生、睡眠贴士、食疗药膳、养生文章等知识体系内容，文案不低于200篇；</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4.2  自义问卷库：用于随访、评估类型问卷的自定义维护；</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4.3  提供各类重点人群的干预与宣教指导方案，包括中医九种体质辨识与调理方案、疲劳人群的健康管理方案、睡眠不良人群的健康管理方案、腰腿不适人群的健康管理方案、血脂偏高状态人群的健康管理方案、易感冒人群的健康管理方案、老年人健康管理方案、0-6岁儿童健康管理方案、孕产妇健康管理方案。</w:t>
            </w:r>
          </w:p>
        </w:tc>
      </w:tr>
      <w:tr w14:paraId="7F77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3124DAF0">
            <w:pPr>
              <w:pStyle w:val="28"/>
              <w:widowControl/>
              <w:numPr>
                <w:ilvl w:val="0"/>
                <w:numId w:val="0"/>
              </w:numPr>
              <w:spacing w:line="400" w:lineRule="exact"/>
              <w:ind w:left="440" w:leftChars="0" w:hanging="440" w:firstLineChars="0"/>
              <w:jc w:val="center"/>
              <w:rPr>
                <w:rFonts w:hint="eastAsia" w:ascii="宋体" w:hAnsi="宋体" w:cs="宋体"/>
                <w:color w:val="000000"/>
                <w:kern w:val="0"/>
                <w:szCs w:val="24"/>
              </w:rPr>
            </w:pPr>
            <w:r>
              <w:rPr>
                <w:rFonts w:hint="eastAsia" w:ascii="宋体" w:hAnsi="宋体" w:eastAsia="宋体" w:cs="宋体"/>
                <w:color w:val="000000"/>
                <w:kern w:val="0"/>
                <w:sz w:val="24"/>
                <w:szCs w:val="24"/>
                <w:lang w:val="en-US" w:eastAsia="zh-CN" w:bidi="ar-SA"/>
              </w:rPr>
              <w:t>4</w:t>
            </w:r>
          </w:p>
        </w:tc>
        <w:tc>
          <w:tcPr>
            <w:tcW w:w="1569" w:type="dxa"/>
            <w:shd w:val="clear" w:color="auto" w:fill="auto"/>
            <w:noWrap/>
            <w:vAlign w:val="center"/>
          </w:tcPr>
          <w:p w14:paraId="6AB39353">
            <w:pPr>
              <w:keepNext w:val="0"/>
              <w:keepLines w:val="0"/>
              <w:widowControl/>
              <w:suppressLineNumbers w:val="0"/>
              <w:jc w:val="center"/>
              <w:textAlignment w:val="center"/>
              <w:rPr>
                <w:rFonts w:hint="eastAsia" w:ascii="宋体" w:hAnsi="宋体" w:cs="宋体"/>
                <w:color w:val="EE0000"/>
                <w:kern w:val="0"/>
                <w:szCs w:val="24"/>
              </w:rPr>
            </w:pPr>
            <w:r>
              <w:rPr>
                <w:rFonts w:hint="eastAsia" w:ascii="宋体" w:hAnsi="宋体" w:eastAsia="宋体" w:cs="宋体"/>
                <w:i w:val="0"/>
                <w:iCs w:val="0"/>
                <w:color w:val="000000"/>
                <w:kern w:val="0"/>
                <w:sz w:val="22"/>
                <w:szCs w:val="22"/>
                <w:u w:val="none"/>
                <w:lang w:val="en-US" w:eastAsia="zh-CN" w:bidi="ar"/>
              </w:rPr>
              <w:t>患者移动端</w:t>
            </w:r>
          </w:p>
        </w:tc>
        <w:tc>
          <w:tcPr>
            <w:tcW w:w="8456" w:type="dxa"/>
            <w:shd w:val="clear" w:color="auto" w:fill="auto"/>
            <w:vAlign w:val="center"/>
          </w:tcPr>
          <w:p w14:paraId="01746816">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lang w:val="en-US" w:eastAsia="zh-CN"/>
              </w:rPr>
              <w:t>1、提供科室介绍、专家介绍，帮助患者快速了解科室业务情况；</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2、提供体质测评，支持患者在线填写中医体质分类与判定问卷表，根据填写内容生成测评结果,帮助患者自行了解自身体质情况；（需提供操作界面截图并加盖投标人公章）</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3、提供健康记录功能，为患者提供每次诊疗过程医生开具的健康方案与配套的检验检查报告；</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4、提供健康日记功能，患者可将日常健康情况登记，主动观察身体健康的变化情况；</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5、提供调理建议功能，患者可通过最新的调理方案了解主动健康管理的各项要求。</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6、任务打卡：用于患者在居家期间提示待打卡任务，主动执行并将执行结果回传；</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7、提供科普宣教模块，科室可将各类宣教文章与医案文章在小程序呈现；</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8、提供积分管理功能，患者登录小程序、任务打卡、阅读文章等操作均能增加积分。</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9、提供就诊卡管理功能，可管理家庭各个成员的账号，查看家庭成员的健康方案与执行各项健康任务。</w:t>
            </w:r>
          </w:p>
        </w:tc>
      </w:tr>
      <w:tr w14:paraId="50C5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1907B146">
            <w:pPr>
              <w:pStyle w:val="28"/>
              <w:widowControl/>
              <w:numPr>
                <w:ilvl w:val="0"/>
                <w:numId w:val="0"/>
              </w:numPr>
              <w:spacing w:line="400" w:lineRule="exact"/>
              <w:ind w:left="440" w:leftChars="0" w:hanging="440" w:firstLineChars="0"/>
              <w:jc w:val="center"/>
              <w:rPr>
                <w:rFonts w:hint="eastAsia" w:ascii="宋体" w:hAnsi="宋体" w:cs="宋体"/>
                <w:color w:val="000000"/>
                <w:kern w:val="0"/>
                <w:szCs w:val="24"/>
              </w:rPr>
            </w:pPr>
            <w:r>
              <w:rPr>
                <w:rFonts w:hint="eastAsia" w:ascii="宋体" w:hAnsi="宋体" w:eastAsia="宋体" w:cs="宋体"/>
                <w:color w:val="000000"/>
                <w:kern w:val="0"/>
                <w:sz w:val="24"/>
                <w:szCs w:val="24"/>
                <w:lang w:val="en-US" w:eastAsia="zh-CN" w:bidi="ar-SA"/>
              </w:rPr>
              <w:t>5</w:t>
            </w:r>
          </w:p>
        </w:tc>
        <w:tc>
          <w:tcPr>
            <w:tcW w:w="1569" w:type="dxa"/>
            <w:shd w:val="clear" w:color="auto" w:fill="auto"/>
            <w:noWrap/>
            <w:vAlign w:val="center"/>
          </w:tcPr>
          <w:p w14:paraId="42BA9212">
            <w:pPr>
              <w:keepNext w:val="0"/>
              <w:keepLines w:val="0"/>
              <w:widowControl/>
              <w:suppressLineNumbers w:val="0"/>
              <w:jc w:val="center"/>
              <w:textAlignment w:val="center"/>
              <w:rPr>
                <w:rFonts w:hint="eastAsia" w:ascii="宋体" w:hAnsi="宋体" w:cs="宋体"/>
                <w:color w:val="EE0000"/>
                <w:kern w:val="0"/>
                <w:szCs w:val="24"/>
              </w:rPr>
            </w:pPr>
            <w:r>
              <w:rPr>
                <w:rFonts w:hint="eastAsia" w:ascii="宋体" w:hAnsi="宋体" w:eastAsia="宋体" w:cs="宋体"/>
                <w:i w:val="0"/>
                <w:iCs w:val="0"/>
                <w:color w:val="000000"/>
                <w:kern w:val="0"/>
                <w:sz w:val="22"/>
                <w:szCs w:val="22"/>
                <w:u w:val="none"/>
                <w:lang w:val="en-US" w:eastAsia="zh-CN" w:bidi="ar"/>
              </w:rPr>
              <w:t>数据接口</w:t>
            </w:r>
          </w:p>
        </w:tc>
        <w:tc>
          <w:tcPr>
            <w:tcW w:w="8456" w:type="dxa"/>
            <w:shd w:val="clear" w:color="auto" w:fill="auto"/>
            <w:vAlign w:val="center"/>
          </w:tcPr>
          <w:p w14:paraId="4267E826">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lang w:val="en-US" w:eastAsia="zh-CN"/>
              </w:rPr>
              <w:t>1、提供标准化数据接口方案，第三方厂家可通过接口方案开发接口，中医治未病系统可通过接口将患者门诊诊疗数据进行抽取导入，内容包括病人基本信息、就诊记录、处方信息、检验报告、检查报告；（需提供接口方案材料并加盖投标人公章）</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2、患者移动端以H5的方式接入业主微信公众号或掌上医院小程序中；</w:t>
            </w:r>
            <w:r>
              <w:rPr>
                <w:rFonts w:hint="eastAsia" w:cs="宋体" w:asciiTheme="minorEastAsia" w:hAnsiTheme="minorEastAsia"/>
                <w:color w:val="auto"/>
                <w:kern w:val="0"/>
                <w:sz w:val="22"/>
                <w:szCs w:val="22"/>
                <w:highlight w:val="none"/>
                <w:lang w:val="en-US" w:eastAsia="zh-CN"/>
              </w:rPr>
              <w:br w:type="textWrapping"/>
            </w:r>
            <w:r>
              <w:rPr>
                <w:rFonts w:hint="eastAsia" w:cs="宋体" w:asciiTheme="minorEastAsia" w:hAnsiTheme="minorEastAsia"/>
                <w:color w:val="auto"/>
                <w:kern w:val="0"/>
                <w:sz w:val="22"/>
                <w:szCs w:val="22"/>
                <w:highlight w:val="none"/>
                <w:lang w:val="en-US" w:eastAsia="zh-CN"/>
              </w:rPr>
              <w:t>3、在业主开放微信公众号消息接口的前提下接入微信公众号消息推送服务。</w:t>
            </w:r>
          </w:p>
        </w:tc>
      </w:tr>
      <w:tr w14:paraId="0EC6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17C296D7">
            <w:pPr>
              <w:pStyle w:val="28"/>
              <w:widowControl/>
              <w:numPr>
                <w:ilvl w:val="0"/>
                <w:numId w:val="0"/>
              </w:numPr>
              <w:spacing w:line="400" w:lineRule="exact"/>
              <w:ind w:left="440" w:leftChars="0" w:hanging="440" w:firstLineChars="0"/>
              <w:jc w:val="center"/>
              <w:rPr>
                <w:rFonts w:hint="eastAsia" w:ascii="宋体" w:hAnsi="宋体" w:cs="宋体"/>
                <w:color w:val="000000"/>
                <w:kern w:val="0"/>
                <w:szCs w:val="24"/>
              </w:rPr>
            </w:pPr>
            <w:r>
              <w:rPr>
                <w:rFonts w:hint="eastAsia" w:ascii="宋体" w:hAnsi="宋体" w:eastAsia="宋体" w:cs="宋体"/>
                <w:color w:val="000000"/>
                <w:kern w:val="0"/>
                <w:sz w:val="24"/>
                <w:szCs w:val="24"/>
                <w:lang w:val="en-US" w:eastAsia="zh-CN" w:bidi="ar-SA"/>
              </w:rPr>
              <w:t>6</w:t>
            </w:r>
          </w:p>
        </w:tc>
        <w:tc>
          <w:tcPr>
            <w:tcW w:w="1569" w:type="dxa"/>
            <w:shd w:val="clear" w:color="auto" w:fill="auto"/>
            <w:noWrap/>
            <w:vAlign w:val="center"/>
          </w:tcPr>
          <w:p w14:paraId="280198A1">
            <w:pPr>
              <w:keepNext w:val="0"/>
              <w:keepLines w:val="0"/>
              <w:widowControl/>
              <w:suppressLineNumbers w:val="0"/>
              <w:jc w:val="center"/>
              <w:textAlignment w:val="center"/>
              <w:rPr>
                <w:rFonts w:hint="eastAsia" w:ascii="宋体" w:hAnsi="宋体" w:cs="宋体"/>
                <w:color w:val="EE0000"/>
                <w:kern w:val="0"/>
                <w:szCs w:val="24"/>
              </w:rPr>
            </w:pPr>
            <w:r>
              <w:rPr>
                <w:rFonts w:hint="eastAsia" w:ascii="宋体" w:hAnsi="宋体" w:eastAsia="宋体" w:cs="宋体"/>
                <w:i w:val="0"/>
                <w:iCs w:val="0"/>
                <w:color w:val="000000"/>
                <w:kern w:val="0"/>
                <w:sz w:val="22"/>
                <w:szCs w:val="22"/>
                <w:u w:val="none"/>
                <w:lang w:val="en-US" w:eastAsia="zh-CN" w:bidi="ar"/>
              </w:rPr>
              <w:t>治疗方案推荐</w:t>
            </w:r>
          </w:p>
        </w:tc>
        <w:tc>
          <w:tcPr>
            <w:tcW w:w="8456" w:type="dxa"/>
            <w:shd w:val="clear" w:color="auto" w:fill="auto"/>
            <w:vAlign w:val="center"/>
          </w:tcPr>
          <w:p w14:paraId="0F59B2B7">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lang w:val="en-US" w:eastAsia="zh-CN"/>
              </w:rPr>
              <w:t>支持通过输入确诊疾病名称及结合患者情况输入指令，如：身份描述+场景表述+任务目标+约束条件，deepseek基于分析依据医学文献和临床指南推荐个性化治疗方案；本地部署，提供调优服务。</w:t>
            </w:r>
          </w:p>
        </w:tc>
      </w:tr>
      <w:tr w14:paraId="461A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617E09E7">
            <w:pPr>
              <w:pStyle w:val="28"/>
              <w:widowControl/>
              <w:numPr>
                <w:ilvl w:val="0"/>
                <w:numId w:val="0"/>
              </w:numPr>
              <w:spacing w:line="400" w:lineRule="exact"/>
              <w:ind w:left="440" w:leftChars="0" w:hanging="440" w:firstLineChars="0"/>
              <w:jc w:val="center"/>
              <w:rPr>
                <w:rFonts w:hint="default" w:ascii="宋体" w:hAnsi="宋体" w:cs="宋体"/>
                <w:color w:val="000000"/>
                <w:kern w:val="0"/>
                <w:szCs w:val="24"/>
                <w:lang w:val="en-US" w:eastAsia="zh-CN"/>
              </w:rPr>
            </w:pPr>
            <w:r>
              <w:rPr>
                <w:rFonts w:hint="eastAsia" w:ascii="宋体" w:hAnsi="宋体" w:eastAsia="宋体" w:cs="宋体"/>
                <w:color w:val="000000"/>
                <w:kern w:val="0"/>
                <w:sz w:val="24"/>
                <w:szCs w:val="24"/>
                <w:lang w:val="en-US" w:eastAsia="zh-CN" w:bidi="ar-SA"/>
              </w:rPr>
              <w:t>7</w:t>
            </w:r>
          </w:p>
        </w:tc>
        <w:tc>
          <w:tcPr>
            <w:tcW w:w="1569" w:type="dxa"/>
            <w:shd w:val="clear" w:color="auto" w:fill="auto"/>
            <w:noWrap/>
            <w:vAlign w:val="center"/>
          </w:tcPr>
          <w:p w14:paraId="471DE9E4">
            <w:pPr>
              <w:widowControl/>
              <w:spacing w:line="4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微信门户</w:t>
            </w:r>
          </w:p>
        </w:tc>
        <w:tc>
          <w:tcPr>
            <w:tcW w:w="8456" w:type="dxa"/>
            <w:shd w:val="clear" w:color="auto" w:fill="auto"/>
            <w:vAlign w:val="center"/>
          </w:tcPr>
          <w:p w14:paraId="54F895D5">
            <w:pPr>
              <w:widowControl/>
              <w:spacing w:line="400" w:lineRule="exact"/>
              <w:rPr>
                <w:rFonts w:hint="default" w:ascii="宋体" w:hAnsi="宋体" w:eastAsia="宋体" w:cs="宋体"/>
                <w:color w:val="auto"/>
                <w:kern w:val="0"/>
                <w:sz w:val="22"/>
                <w:szCs w:val="22"/>
                <w:highlight w:val="none"/>
                <w:lang w:val="en-US" w:eastAsia="zh-CN"/>
              </w:rPr>
            </w:pPr>
            <w:r>
              <w:rPr>
                <w:rFonts w:hint="eastAsia" w:cs="宋体" w:asciiTheme="minorEastAsia" w:hAnsiTheme="minorEastAsia"/>
                <w:color w:val="auto"/>
                <w:kern w:val="0"/>
                <w:sz w:val="22"/>
                <w:szCs w:val="22"/>
                <w:highlight w:val="none"/>
              </w:rPr>
              <w:t>搭建微信门户基础平台，以小程序形式建设面向患者的智慧医疗线上服务官方门户，支持基于该平台上线、扩充各类智慧医院、互联网医院患者服务</w:t>
            </w:r>
            <w:r>
              <w:rPr>
                <w:rFonts w:hint="eastAsia" w:cs="宋体" w:asciiTheme="minorEastAsia" w:hAnsiTheme="minorEastAsia"/>
                <w:color w:val="auto"/>
                <w:kern w:val="0"/>
                <w:sz w:val="22"/>
                <w:szCs w:val="22"/>
                <w:highlight w:val="none"/>
                <w:lang w:eastAsia="zh-CN"/>
              </w:rPr>
              <w:t>，</w:t>
            </w:r>
            <w:r>
              <w:rPr>
                <w:rFonts w:hint="eastAsia" w:cs="宋体" w:asciiTheme="minorEastAsia" w:hAnsiTheme="minorEastAsia"/>
                <w:color w:val="auto"/>
                <w:kern w:val="0"/>
                <w:sz w:val="22"/>
                <w:szCs w:val="22"/>
                <w:highlight w:val="none"/>
                <w:lang w:val="en-US" w:eastAsia="zh-CN"/>
              </w:rPr>
              <w:t>同时提供信息推送以及科普指导的链接</w:t>
            </w:r>
          </w:p>
        </w:tc>
      </w:tr>
      <w:tr w14:paraId="3F3A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4E23D48D">
            <w:pPr>
              <w:pStyle w:val="28"/>
              <w:widowControl/>
              <w:numPr>
                <w:ilvl w:val="0"/>
                <w:numId w:val="0"/>
              </w:numPr>
              <w:spacing w:line="400" w:lineRule="exact"/>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69" w:type="dxa"/>
            <w:shd w:val="clear" w:color="auto" w:fill="auto"/>
            <w:noWrap/>
            <w:vAlign w:val="center"/>
          </w:tcPr>
          <w:p w14:paraId="47A64034">
            <w:pPr>
              <w:widowControl/>
              <w:spacing w:line="4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在线复诊模块</w:t>
            </w:r>
          </w:p>
        </w:tc>
        <w:tc>
          <w:tcPr>
            <w:tcW w:w="8456" w:type="dxa"/>
            <w:shd w:val="clear" w:color="auto" w:fill="auto"/>
            <w:vAlign w:val="center"/>
          </w:tcPr>
          <w:p w14:paraId="120170E8">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rPr>
              <w:t>包含患者端、医生端、管理端</w:t>
            </w:r>
          </w:p>
          <w:p w14:paraId="2013B4DB">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rPr>
              <w:t>1、医生端复诊接诊功能：会话模块，包括上传图片、拍照、文字输入、回复模版设置、发起视频、结束问诊、退款，查看患者线上资料模块，包括患者信息查看、患者标签管理、患者线上历史处方；评价模块，包括医生可查看患者评价详情；</w:t>
            </w:r>
          </w:p>
          <w:p w14:paraId="3556841F">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rPr>
              <w:t>2、患者端复诊功能：发起复诊模块，包括选择问诊目的（首诊咨询、在线复诊等）、选择就诊人、选择接诊医生、选择问诊形式、查阅知情同意书、填写主诉、上传图片形式病历资料；会话模块，包括包括上传图片、拍照、文字输入、接入视频、结束问诊，查看患者线上资料模块，支持处方记录查询及发送、药品处方查看、检查单/检验单查看、患者线上历史处方；评价模块，包括问诊结束医生进行评价</w:t>
            </w:r>
          </w:p>
          <w:p w14:paraId="601BAE1B">
            <w:pPr>
              <w:pStyle w:val="22"/>
              <w:ind w:firstLine="0" w:firstLineChars="0"/>
              <w:rPr>
                <w:rFonts w:hint="eastAsia" w:ascii="宋体" w:hAnsi="宋体" w:cs="宋体"/>
                <w:color w:val="auto"/>
                <w:kern w:val="0"/>
                <w:sz w:val="22"/>
                <w:szCs w:val="22"/>
                <w:highlight w:val="none"/>
              </w:rPr>
            </w:pPr>
            <w:r>
              <w:rPr>
                <w:rFonts w:hint="eastAsia"/>
                <w:b w:val="0"/>
                <w:bCs/>
                <w:color w:val="auto"/>
                <w:sz w:val="22"/>
                <w:szCs w:val="22"/>
                <w:highlight w:val="none"/>
              </w:rPr>
              <w:t>3、互联网医院系统，支持全民健康平台互认记录授权，患者在选择医生问诊的时候，进行弹框提醒，允许患者选择授权或不授权互认记录操作。</w:t>
            </w:r>
          </w:p>
        </w:tc>
      </w:tr>
      <w:tr w14:paraId="5161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61F23B2C">
            <w:pPr>
              <w:pStyle w:val="28"/>
              <w:widowControl/>
              <w:numPr>
                <w:ilvl w:val="0"/>
                <w:numId w:val="0"/>
              </w:numPr>
              <w:spacing w:line="400" w:lineRule="exact"/>
              <w:ind w:left="240" w:leftChars="0"/>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w:t>
            </w:r>
          </w:p>
        </w:tc>
        <w:tc>
          <w:tcPr>
            <w:tcW w:w="1569" w:type="dxa"/>
            <w:shd w:val="clear" w:color="auto" w:fill="auto"/>
            <w:noWrap/>
            <w:vAlign w:val="center"/>
          </w:tcPr>
          <w:p w14:paraId="37E4E74F">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音视频流服务</w:t>
            </w:r>
            <w:r>
              <w:rPr>
                <w:rFonts w:hint="eastAsia" w:cs="宋体" w:asciiTheme="minorEastAsia" w:hAnsiTheme="minorEastAsia"/>
                <w:color w:val="auto"/>
                <w:kern w:val="0"/>
                <w:sz w:val="22"/>
                <w:szCs w:val="22"/>
                <w:lang w:val="en-US" w:eastAsia="zh-CN"/>
              </w:rPr>
              <w:t>(</w:t>
            </w:r>
            <w:r>
              <w:rPr>
                <w:rFonts w:hint="eastAsia" w:cs="宋体" w:asciiTheme="minorEastAsia" w:hAnsiTheme="minorEastAsia"/>
                <w:color w:val="auto"/>
                <w:kern w:val="0"/>
                <w:sz w:val="22"/>
                <w:szCs w:val="22"/>
              </w:rPr>
              <w:t>腾讯云</w:t>
            </w:r>
            <w:r>
              <w:rPr>
                <w:rFonts w:hint="eastAsia" w:cs="宋体" w:asciiTheme="minorEastAsia" w:hAnsiTheme="minorEastAsia"/>
                <w:color w:val="auto"/>
                <w:kern w:val="0"/>
                <w:sz w:val="22"/>
                <w:szCs w:val="22"/>
                <w:lang w:val="en-US" w:eastAsia="zh-CN"/>
              </w:rPr>
              <w:t>,</w:t>
            </w:r>
            <w:r>
              <w:rPr>
                <w:rFonts w:hint="eastAsia" w:cs="宋体" w:asciiTheme="minorEastAsia" w:hAnsiTheme="minorEastAsia"/>
                <w:color w:val="auto"/>
                <w:kern w:val="0"/>
                <w:sz w:val="22"/>
                <w:szCs w:val="22"/>
              </w:rPr>
              <w:t>音视频流</w:t>
            </w:r>
            <w:r>
              <w:rPr>
                <w:rFonts w:hint="eastAsia" w:cs="宋体" w:asciiTheme="minorEastAsia" w:hAnsiTheme="minorEastAsia"/>
                <w:color w:val="auto"/>
                <w:kern w:val="0"/>
                <w:sz w:val="22"/>
                <w:szCs w:val="22"/>
                <w:lang w:val="en-US" w:eastAsia="zh-CN"/>
              </w:rPr>
              <w:t>,</w:t>
            </w:r>
            <w:r>
              <w:rPr>
                <w:rFonts w:hint="eastAsia" w:cs="宋体" w:asciiTheme="minorEastAsia" w:hAnsiTheme="minorEastAsia"/>
                <w:color w:val="auto"/>
                <w:kern w:val="0"/>
                <w:sz w:val="22"/>
                <w:szCs w:val="22"/>
              </w:rPr>
              <w:t>1年</w:t>
            </w:r>
            <w:r>
              <w:rPr>
                <w:rFonts w:hint="eastAsia" w:cs="宋体" w:asciiTheme="minorEastAsia" w:hAnsiTheme="minorEastAsia"/>
                <w:color w:val="auto"/>
                <w:kern w:val="0"/>
                <w:sz w:val="22"/>
                <w:szCs w:val="22"/>
                <w:lang w:val="en-US" w:eastAsia="zh-CN"/>
              </w:rPr>
              <w:t>)</w:t>
            </w:r>
          </w:p>
        </w:tc>
        <w:tc>
          <w:tcPr>
            <w:tcW w:w="8456" w:type="dxa"/>
            <w:shd w:val="clear" w:color="auto" w:fill="auto"/>
            <w:vAlign w:val="center"/>
          </w:tcPr>
          <w:p w14:paraId="7FE7AF50">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使用腾讯音视频流为视频问诊提供基础能力</w:t>
            </w:r>
          </w:p>
        </w:tc>
      </w:tr>
      <w:tr w14:paraId="47A8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474E76AF">
            <w:pPr>
              <w:pStyle w:val="28"/>
              <w:widowControl/>
              <w:numPr>
                <w:ilvl w:val="0"/>
                <w:numId w:val="0"/>
              </w:numPr>
              <w:spacing w:line="400" w:lineRule="exact"/>
              <w:ind w:left="240" w:leftChars="0"/>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11</w:t>
            </w:r>
          </w:p>
        </w:tc>
        <w:tc>
          <w:tcPr>
            <w:tcW w:w="1569" w:type="dxa"/>
            <w:shd w:val="clear" w:color="auto" w:fill="auto"/>
            <w:noWrap/>
            <w:vAlign w:val="center"/>
          </w:tcPr>
          <w:p w14:paraId="3D20BAEE">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基础在线复诊自费支付</w:t>
            </w:r>
          </w:p>
        </w:tc>
        <w:tc>
          <w:tcPr>
            <w:tcW w:w="8456" w:type="dxa"/>
            <w:shd w:val="clear" w:color="auto" w:fill="auto"/>
            <w:vAlign w:val="center"/>
          </w:tcPr>
          <w:p w14:paraId="0C155054">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患者在互联网医院中使用自费方式在线支付问诊、药品费用</w:t>
            </w:r>
          </w:p>
        </w:tc>
      </w:tr>
      <w:tr w14:paraId="50D3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67245E5F">
            <w:pPr>
              <w:pStyle w:val="28"/>
              <w:widowControl/>
              <w:numPr>
                <w:ilvl w:val="0"/>
                <w:numId w:val="0"/>
              </w:numPr>
              <w:spacing w:line="400" w:lineRule="exact"/>
              <w:ind w:left="240" w:leftChars="0"/>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12</w:t>
            </w:r>
          </w:p>
        </w:tc>
        <w:tc>
          <w:tcPr>
            <w:tcW w:w="1569" w:type="dxa"/>
            <w:shd w:val="clear" w:color="auto" w:fill="auto"/>
            <w:noWrap/>
            <w:vAlign w:val="center"/>
          </w:tcPr>
          <w:p w14:paraId="73498F7E">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病历书写模块</w:t>
            </w:r>
          </w:p>
        </w:tc>
        <w:tc>
          <w:tcPr>
            <w:tcW w:w="8456" w:type="dxa"/>
            <w:shd w:val="clear" w:color="auto" w:fill="auto"/>
            <w:vAlign w:val="center"/>
          </w:tcPr>
          <w:p w14:paraId="229CFADB">
            <w:pPr>
              <w:widowControl/>
              <w:spacing w:line="400" w:lineRule="exact"/>
              <w:rPr>
                <w:rFonts w:hint="eastAsia" w:cs="宋体" w:asciiTheme="minorEastAsia" w:hAnsiTheme="minorEastAsia"/>
                <w:color w:val="auto"/>
                <w:kern w:val="0"/>
                <w:sz w:val="22"/>
                <w:szCs w:val="22"/>
              </w:rPr>
            </w:pPr>
            <w:r>
              <w:rPr>
                <w:rFonts w:hint="eastAsia" w:cs="宋体" w:asciiTheme="minorEastAsia" w:hAnsiTheme="minorEastAsia"/>
                <w:color w:val="auto"/>
                <w:kern w:val="0"/>
                <w:sz w:val="22"/>
                <w:szCs w:val="22"/>
              </w:rPr>
              <w:t>医生在互联网医院医生端中书写病历。书写过程中可快速导入患者病情描述、查看全部诊断目录及常用诊断目录或搜索病症。</w:t>
            </w:r>
          </w:p>
          <w:p w14:paraId="75E33D47">
            <w:pPr>
              <w:pStyle w:val="22"/>
              <w:ind w:firstLine="0" w:firstLineChars="0"/>
              <w:rPr>
                <w:b w:val="0"/>
                <w:color w:val="auto"/>
                <w:sz w:val="22"/>
                <w:szCs w:val="22"/>
              </w:rPr>
            </w:pPr>
            <w:r>
              <w:rPr>
                <w:rFonts w:hint="eastAsia"/>
                <w:b w:val="0"/>
                <w:color w:val="auto"/>
                <w:sz w:val="22"/>
                <w:szCs w:val="22"/>
              </w:rPr>
              <w:t>写病历：问诊过程中，医生可在线上直接给患者开具电子病历，包括诊断、主诉、既往史、过敏史、体格检查、辅助检查、处理意见、留言</w:t>
            </w:r>
          </w:p>
          <w:p w14:paraId="5F18BAE1">
            <w:pPr>
              <w:pStyle w:val="22"/>
              <w:ind w:firstLine="0" w:firstLineChars="0"/>
              <w:rPr>
                <w:b w:val="0"/>
                <w:color w:val="auto"/>
                <w:sz w:val="22"/>
                <w:szCs w:val="22"/>
              </w:rPr>
            </w:pPr>
            <w:r>
              <w:rPr>
                <w:rFonts w:hint="eastAsia"/>
                <w:b w:val="0"/>
                <w:color w:val="auto"/>
                <w:sz w:val="22"/>
                <w:szCs w:val="22"/>
              </w:rPr>
              <w:t>常用诊断目录</w:t>
            </w:r>
            <w:r>
              <w:rPr>
                <w:rFonts w:hint="eastAsia"/>
                <w:b w:val="0"/>
                <w:color w:val="auto"/>
                <w:sz w:val="22"/>
                <w:szCs w:val="22"/>
              </w:rPr>
              <w:tab/>
            </w:r>
            <w:r>
              <w:rPr>
                <w:rFonts w:hint="eastAsia"/>
                <w:b w:val="0"/>
                <w:color w:val="auto"/>
                <w:sz w:val="22"/>
                <w:szCs w:val="22"/>
              </w:rPr>
              <w:t>：医生在写病历时，可以直接在常开诊断中选择本次患者的所患疾病</w:t>
            </w:r>
          </w:p>
          <w:p w14:paraId="63CA8F2C">
            <w:pPr>
              <w:pStyle w:val="22"/>
              <w:ind w:firstLine="0" w:firstLineChars="0"/>
              <w:rPr>
                <w:b w:val="0"/>
                <w:color w:val="auto"/>
                <w:sz w:val="22"/>
                <w:szCs w:val="22"/>
              </w:rPr>
            </w:pPr>
            <w:r>
              <w:rPr>
                <w:rFonts w:hint="eastAsia"/>
                <w:b w:val="0"/>
                <w:color w:val="auto"/>
                <w:sz w:val="22"/>
                <w:szCs w:val="22"/>
              </w:rPr>
              <w:t>全部诊断目录</w:t>
            </w:r>
            <w:r>
              <w:rPr>
                <w:rFonts w:hint="eastAsia"/>
                <w:b w:val="0"/>
                <w:color w:val="auto"/>
                <w:sz w:val="22"/>
                <w:szCs w:val="22"/>
              </w:rPr>
              <w:tab/>
            </w:r>
            <w:r>
              <w:rPr>
                <w:rFonts w:hint="eastAsia"/>
                <w:b w:val="0"/>
                <w:color w:val="auto"/>
                <w:sz w:val="22"/>
                <w:szCs w:val="22"/>
              </w:rPr>
              <w:t>：医生在写病历时，可以选择在全部诊断选择本次患者的所患疾病</w:t>
            </w:r>
          </w:p>
          <w:p w14:paraId="2E9E456D">
            <w:pPr>
              <w:pStyle w:val="22"/>
              <w:ind w:firstLine="0" w:firstLineChars="0"/>
              <w:rPr>
                <w:b w:val="0"/>
                <w:color w:val="auto"/>
                <w:sz w:val="22"/>
                <w:szCs w:val="22"/>
              </w:rPr>
            </w:pPr>
            <w:r>
              <w:rPr>
                <w:rFonts w:hint="eastAsia"/>
                <w:b w:val="0"/>
                <w:color w:val="auto"/>
                <w:sz w:val="22"/>
                <w:szCs w:val="22"/>
              </w:rPr>
              <w:t>诊断病症搜索</w:t>
            </w:r>
            <w:r>
              <w:rPr>
                <w:rFonts w:hint="eastAsia"/>
                <w:b w:val="0"/>
                <w:color w:val="auto"/>
                <w:sz w:val="22"/>
                <w:szCs w:val="22"/>
              </w:rPr>
              <w:tab/>
            </w:r>
            <w:r>
              <w:rPr>
                <w:rFonts w:hint="eastAsia"/>
                <w:b w:val="0"/>
                <w:color w:val="auto"/>
                <w:sz w:val="22"/>
                <w:szCs w:val="22"/>
              </w:rPr>
              <w:t>：医生在写病历时，可以通过输入关键字搜索的出对应的疾病</w:t>
            </w:r>
          </w:p>
          <w:p w14:paraId="1B555333">
            <w:pPr>
              <w:pStyle w:val="22"/>
              <w:ind w:firstLine="0" w:firstLineChars="0"/>
              <w:rPr>
                <w:b w:val="0"/>
                <w:color w:val="auto"/>
                <w:sz w:val="22"/>
                <w:szCs w:val="22"/>
              </w:rPr>
            </w:pPr>
            <w:r>
              <w:rPr>
                <w:rFonts w:hint="eastAsia"/>
                <w:b w:val="0"/>
                <w:color w:val="auto"/>
                <w:sz w:val="22"/>
                <w:szCs w:val="22"/>
              </w:rPr>
              <w:t>患者病情描述导入：医生在填写患者主诉时，可以直接导入患者的病情描述后进行修改</w:t>
            </w:r>
          </w:p>
          <w:p w14:paraId="5F9BCADB">
            <w:pPr>
              <w:pStyle w:val="22"/>
              <w:ind w:firstLine="0" w:firstLineChars="0"/>
              <w:rPr>
                <w:rFonts w:ascii="Ђˎ̥" w:hAnsi="Calibri" w:eastAsia="宋体" w:cs="宋体"/>
                <w:b w:val="0"/>
                <w:color w:val="auto"/>
                <w:kern w:val="2"/>
                <w:sz w:val="22"/>
                <w:szCs w:val="22"/>
                <w:lang w:val="en-US" w:eastAsia="zh-CN" w:bidi="ar-SA"/>
              </w:rPr>
            </w:pPr>
            <w:r>
              <w:rPr>
                <w:rFonts w:hint="eastAsia"/>
                <w:b w:val="0"/>
                <w:color w:val="auto"/>
                <w:sz w:val="22"/>
                <w:szCs w:val="22"/>
              </w:rPr>
              <w:t>既往史录入：医生在填写患者既往史时，可以直接导入患者电子病历中的既往史后进行修改</w:t>
            </w:r>
          </w:p>
        </w:tc>
      </w:tr>
      <w:tr w14:paraId="41E6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1187486E">
            <w:pPr>
              <w:pStyle w:val="28"/>
              <w:widowControl/>
              <w:numPr>
                <w:ilvl w:val="0"/>
                <w:numId w:val="0"/>
              </w:numPr>
              <w:spacing w:line="400" w:lineRule="exact"/>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13</w:t>
            </w:r>
          </w:p>
        </w:tc>
        <w:tc>
          <w:tcPr>
            <w:tcW w:w="1569" w:type="dxa"/>
            <w:shd w:val="clear" w:color="auto" w:fill="auto"/>
            <w:noWrap/>
            <w:vAlign w:val="center"/>
          </w:tcPr>
          <w:p w14:paraId="5E774829">
            <w:pPr>
              <w:widowControl/>
              <w:spacing w:line="400" w:lineRule="exact"/>
              <w:jc w:val="center"/>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药品处方开具模块</w:t>
            </w:r>
          </w:p>
        </w:tc>
        <w:tc>
          <w:tcPr>
            <w:tcW w:w="8456" w:type="dxa"/>
            <w:shd w:val="clear" w:color="auto" w:fill="auto"/>
            <w:vAlign w:val="center"/>
          </w:tcPr>
          <w:p w14:paraId="405D2281">
            <w:pPr>
              <w:widowControl/>
              <w:spacing w:line="400" w:lineRule="exact"/>
              <w:rPr>
                <w:rFonts w:hint="eastAsia" w:cs="宋体" w:asciiTheme="minorEastAsia" w:hAnsiTheme="minorEastAsia"/>
                <w:color w:val="auto"/>
                <w:kern w:val="0"/>
                <w:sz w:val="22"/>
                <w:szCs w:val="22"/>
              </w:rPr>
            </w:pPr>
            <w:r>
              <w:rPr>
                <w:rFonts w:hint="eastAsia" w:cs="宋体" w:asciiTheme="minorEastAsia" w:hAnsiTheme="minorEastAsia"/>
                <w:color w:val="auto"/>
                <w:kern w:val="0"/>
                <w:sz w:val="22"/>
                <w:szCs w:val="22"/>
              </w:rPr>
              <w:t>医生在互联网医院医生端中开选择药房、开具重要、西药处方模块并进行CA签名。</w:t>
            </w:r>
          </w:p>
          <w:p w14:paraId="1E50005D">
            <w:pPr>
              <w:pStyle w:val="22"/>
              <w:ind w:firstLine="0" w:firstLineChars="0"/>
              <w:rPr>
                <w:b w:val="0"/>
                <w:color w:val="auto"/>
                <w:sz w:val="22"/>
                <w:szCs w:val="22"/>
              </w:rPr>
            </w:pPr>
            <w:r>
              <w:rPr>
                <w:rFonts w:hint="eastAsia"/>
                <w:b w:val="0"/>
                <w:color w:val="auto"/>
                <w:sz w:val="22"/>
                <w:szCs w:val="22"/>
              </w:rPr>
              <w:t>处方模板导入</w:t>
            </w:r>
            <w:r>
              <w:rPr>
                <w:rFonts w:hint="eastAsia"/>
                <w:b w:val="0"/>
                <w:color w:val="auto"/>
                <w:sz w:val="22"/>
                <w:szCs w:val="22"/>
              </w:rPr>
              <w:tab/>
            </w:r>
            <w:r>
              <w:rPr>
                <w:rFonts w:hint="eastAsia"/>
                <w:b w:val="0"/>
                <w:color w:val="auto"/>
                <w:sz w:val="22"/>
                <w:szCs w:val="22"/>
              </w:rPr>
              <w:t>：医生在给患者开具药品处方时，可以直接选择处方模板中的处方进行导入，一键完成开方</w:t>
            </w:r>
          </w:p>
          <w:p w14:paraId="6932C5FC">
            <w:pPr>
              <w:pStyle w:val="22"/>
              <w:ind w:firstLine="0" w:firstLineChars="0"/>
              <w:rPr>
                <w:b w:val="0"/>
                <w:color w:val="auto"/>
                <w:sz w:val="22"/>
                <w:szCs w:val="22"/>
              </w:rPr>
            </w:pPr>
            <w:r>
              <w:rPr>
                <w:rFonts w:hint="eastAsia"/>
                <w:b w:val="0"/>
                <w:color w:val="auto"/>
                <w:sz w:val="22"/>
                <w:szCs w:val="22"/>
              </w:rPr>
              <w:t>药房选择</w:t>
            </w:r>
            <w:r>
              <w:rPr>
                <w:rFonts w:hint="eastAsia"/>
                <w:b w:val="0"/>
                <w:color w:val="auto"/>
                <w:sz w:val="22"/>
                <w:szCs w:val="22"/>
              </w:rPr>
              <w:tab/>
            </w:r>
            <w:r>
              <w:rPr>
                <w:rFonts w:hint="eastAsia"/>
                <w:b w:val="0"/>
                <w:color w:val="auto"/>
                <w:sz w:val="22"/>
                <w:szCs w:val="22"/>
              </w:rPr>
              <w:t>：医生在开处方时，选择取药药房</w:t>
            </w:r>
          </w:p>
          <w:p w14:paraId="6BAF15FF">
            <w:pPr>
              <w:pStyle w:val="22"/>
              <w:ind w:firstLine="0" w:firstLineChars="0"/>
              <w:rPr>
                <w:b w:val="0"/>
                <w:color w:val="auto"/>
                <w:sz w:val="22"/>
                <w:szCs w:val="22"/>
              </w:rPr>
            </w:pPr>
            <w:r>
              <w:rPr>
                <w:rFonts w:hint="eastAsia"/>
                <w:b w:val="0"/>
                <w:color w:val="auto"/>
                <w:sz w:val="22"/>
                <w:szCs w:val="22"/>
              </w:rPr>
              <w:t>中药药品选择：</w:t>
            </w:r>
            <w:r>
              <w:rPr>
                <w:rFonts w:hint="eastAsia"/>
                <w:b w:val="0"/>
                <w:color w:val="auto"/>
                <w:sz w:val="22"/>
                <w:szCs w:val="22"/>
              </w:rPr>
              <w:tab/>
            </w:r>
            <w:r>
              <w:rPr>
                <w:rFonts w:hint="eastAsia"/>
                <w:b w:val="0"/>
                <w:color w:val="auto"/>
                <w:sz w:val="22"/>
                <w:szCs w:val="22"/>
              </w:rPr>
              <w:t>医生在给患者开具中药处方时，可以通过搜索或者列表查找的方式选择中药</w:t>
            </w:r>
          </w:p>
          <w:p w14:paraId="2022F369">
            <w:pPr>
              <w:pStyle w:val="22"/>
              <w:ind w:firstLine="0" w:firstLineChars="0"/>
              <w:rPr>
                <w:b w:val="0"/>
                <w:color w:val="auto"/>
                <w:sz w:val="22"/>
                <w:szCs w:val="22"/>
              </w:rPr>
            </w:pPr>
            <w:r>
              <w:rPr>
                <w:rFonts w:hint="eastAsia"/>
                <w:b w:val="0"/>
                <w:color w:val="auto"/>
                <w:sz w:val="22"/>
                <w:szCs w:val="22"/>
              </w:rPr>
              <w:t>中药药品剂量配置</w:t>
            </w:r>
            <w:r>
              <w:rPr>
                <w:rFonts w:hint="eastAsia"/>
                <w:b w:val="0"/>
                <w:color w:val="auto"/>
                <w:sz w:val="22"/>
                <w:szCs w:val="22"/>
              </w:rPr>
              <w:tab/>
            </w:r>
            <w:r>
              <w:rPr>
                <w:rFonts w:hint="eastAsia"/>
                <w:b w:val="0"/>
                <w:color w:val="auto"/>
                <w:sz w:val="22"/>
                <w:szCs w:val="22"/>
              </w:rPr>
              <w:t>：医生在给患者开具中药处方时，选择好了中药药品后，需要对每一味中药的药品剂量进行配置</w:t>
            </w:r>
          </w:p>
          <w:p w14:paraId="4BDC5142">
            <w:pPr>
              <w:pStyle w:val="22"/>
              <w:ind w:firstLine="0" w:firstLineChars="0"/>
              <w:rPr>
                <w:b w:val="0"/>
                <w:color w:val="auto"/>
                <w:sz w:val="22"/>
                <w:szCs w:val="22"/>
              </w:rPr>
            </w:pPr>
            <w:r>
              <w:rPr>
                <w:rFonts w:hint="eastAsia"/>
                <w:b w:val="0"/>
                <w:color w:val="auto"/>
                <w:sz w:val="22"/>
                <w:szCs w:val="22"/>
              </w:rPr>
              <w:t>中药用药配置：</w:t>
            </w:r>
            <w:r>
              <w:rPr>
                <w:rFonts w:hint="eastAsia"/>
                <w:b w:val="0"/>
                <w:color w:val="auto"/>
                <w:sz w:val="22"/>
                <w:szCs w:val="22"/>
              </w:rPr>
              <w:tab/>
            </w:r>
            <w:r>
              <w:rPr>
                <w:rFonts w:hint="eastAsia"/>
                <w:b w:val="0"/>
                <w:color w:val="auto"/>
                <w:sz w:val="22"/>
                <w:szCs w:val="22"/>
              </w:rPr>
              <w:t>医生在给患者开具中药处方时，选好药品生成处方前，需要填写号用药途径、用药频率、执行时间、开药量、开药单位信息</w:t>
            </w:r>
          </w:p>
          <w:p w14:paraId="604490DD">
            <w:pPr>
              <w:pStyle w:val="22"/>
              <w:ind w:firstLine="0" w:firstLineChars="0"/>
              <w:rPr>
                <w:b w:val="0"/>
                <w:color w:val="auto"/>
                <w:sz w:val="22"/>
                <w:szCs w:val="22"/>
              </w:rPr>
            </w:pPr>
            <w:r>
              <w:rPr>
                <w:rFonts w:hint="eastAsia"/>
                <w:b w:val="0"/>
                <w:color w:val="auto"/>
                <w:sz w:val="22"/>
                <w:szCs w:val="22"/>
              </w:rPr>
              <w:t>中药是否代煎选择：</w:t>
            </w:r>
            <w:r>
              <w:rPr>
                <w:rFonts w:hint="eastAsia"/>
                <w:b w:val="0"/>
                <w:color w:val="auto"/>
                <w:sz w:val="22"/>
                <w:szCs w:val="22"/>
              </w:rPr>
              <w:tab/>
            </w:r>
            <w:r>
              <w:rPr>
                <w:rFonts w:hint="eastAsia"/>
                <w:b w:val="0"/>
                <w:color w:val="auto"/>
                <w:sz w:val="22"/>
                <w:szCs w:val="22"/>
              </w:rPr>
              <w:t>医生在给患者开具中药处方时，可以选择是否代煎，代煎的中药则煎好后再配送</w:t>
            </w:r>
          </w:p>
          <w:p w14:paraId="4EB468B5">
            <w:pPr>
              <w:pStyle w:val="22"/>
              <w:ind w:firstLine="0" w:firstLineChars="0"/>
              <w:rPr>
                <w:b w:val="0"/>
                <w:color w:val="auto"/>
                <w:sz w:val="22"/>
                <w:szCs w:val="22"/>
              </w:rPr>
            </w:pPr>
            <w:r>
              <w:rPr>
                <w:rFonts w:hint="eastAsia"/>
                <w:b w:val="0"/>
                <w:color w:val="auto"/>
                <w:sz w:val="22"/>
                <w:szCs w:val="22"/>
              </w:rPr>
              <w:t>西药品选择：医生在给患者开具西药处方时，可以通过搜索或者列表查找的方式选择西药</w:t>
            </w:r>
          </w:p>
          <w:p w14:paraId="31215B1E">
            <w:pPr>
              <w:pStyle w:val="22"/>
              <w:ind w:firstLine="0" w:firstLineChars="0"/>
              <w:rPr>
                <w:b w:val="0"/>
                <w:color w:val="auto"/>
                <w:sz w:val="22"/>
                <w:szCs w:val="22"/>
              </w:rPr>
            </w:pPr>
            <w:r>
              <w:rPr>
                <w:rFonts w:hint="eastAsia"/>
                <w:b w:val="0"/>
                <w:color w:val="auto"/>
                <w:sz w:val="22"/>
                <w:szCs w:val="22"/>
              </w:rPr>
              <w:t>西药用药配置：支持医生在给患者开具西药处方时，填写好单次药量、用药途径、用药频率、开药量、执行时间、用药天数信息</w:t>
            </w:r>
          </w:p>
          <w:p w14:paraId="45B3592F">
            <w:pPr>
              <w:pStyle w:val="22"/>
              <w:ind w:firstLine="0" w:firstLineChars="0"/>
              <w:rPr>
                <w:rFonts w:ascii="Ђˎ̥" w:hAnsi="Calibri" w:eastAsia="宋体" w:cs="宋体"/>
                <w:b w:val="0"/>
                <w:color w:val="auto"/>
                <w:kern w:val="2"/>
                <w:sz w:val="22"/>
                <w:szCs w:val="22"/>
                <w:lang w:val="en-US" w:eastAsia="zh-CN" w:bidi="ar-SA"/>
              </w:rPr>
            </w:pPr>
            <w:r>
              <w:rPr>
                <w:rFonts w:hint="eastAsia"/>
                <w:b w:val="0"/>
                <w:color w:val="auto"/>
                <w:sz w:val="22"/>
                <w:szCs w:val="22"/>
              </w:rPr>
              <w:t>处方CA签名确认：医生在开具处方时 ，需要对处方进行签名确认，手机端支持使用电子签名对处方进行确认</w:t>
            </w:r>
          </w:p>
        </w:tc>
      </w:tr>
      <w:tr w14:paraId="37DA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27DD5500">
            <w:pPr>
              <w:pStyle w:val="28"/>
              <w:widowControl/>
              <w:numPr>
                <w:ilvl w:val="0"/>
                <w:numId w:val="0"/>
              </w:numPr>
              <w:spacing w:line="400" w:lineRule="exact"/>
              <w:ind w:left="440" w:leftChars="0" w:hanging="440" w:firstLineChars="0"/>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bidi="ar-SA"/>
              </w:rPr>
              <w:t>14</w:t>
            </w:r>
          </w:p>
        </w:tc>
        <w:tc>
          <w:tcPr>
            <w:tcW w:w="1569" w:type="dxa"/>
            <w:shd w:val="clear" w:color="auto" w:fill="auto"/>
            <w:noWrap/>
            <w:vAlign w:val="center"/>
          </w:tcPr>
          <w:p w14:paraId="77657C5E">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药师审方模块</w:t>
            </w:r>
          </w:p>
        </w:tc>
        <w:tc>
          <w:tcPr>
            <w:tcW w:w="8456" w:type="dxa"/>
            <w:shd w:val="clear" w:color="auto" w:fill="auto"/>
            <w:vAlign w:val="center"/>
          </w:tcPr>
          <w:p w14:paraId="69C8A7C0">
            <w:pPr>
              <w:widowControl/>
              <w:spacing w:line="400" w:lineRule="exact"/>
              <w:rPr>
                <w:rFonts w:hint="eastAsia" w:cs="宋体" w:asciiTheme="minorEastAsia" w:hAnsiTheme="minorEastAsia"/>
                <w:color w:val="auto"/>
                <w:kern w:val="0"/>
                <w:sz w:val="22"/>
                <w:szCs w:val="22"/>
              </w:rPr>
            </w:pPr>
            <w:r>
              <w:rPr>
                <w:rFonts w:hint="eastAsia" w:cs="宋体" w:asciiTheme="minorEastAsia" w:hAnsiTheme="minorEastAsia"/>
                <w:color w:val="auto"/>
                <w:kern w:val="0"/>
                <w:sz w:val="22"/>
                <w:szCs w:val="22"/>
              </w:rPr>
              <w:t>药师使用移动端对医生在互联网医院开具的处方进行人工审方</w:t>
            </w:r>
          </w:p>
          <w:p w14:paraId="0F2E996E">
            <w:pPr>
              <w:pStyle w:val="22"/>
              <w:ind w:firstLine="0" w:firstLineChars="0"/>
              <w:rPr>
                <w:b w:val="0"/>
                <w:color w:val="auto"/>
                <w:sz w:val="22"/>
                <w:szCs w:val="22"/>
              </w:rPr>
            </w:pPr>
            <w:r>
              <w:rPr>
                <w:rFonts w:hint="eastAsia"/>
                <w:b w:val="0"/>
                <w:color w:val="auto"/>
                <w:sz w:val="22"/>
                <w:szCs w:val="22"/>
              </w:rPr>
              <w:t>药师审方：药师使用移动端对医生在互联网医院开具的处方进行人工审方</w:t>
            </w:r>
          </w:p>
          <w:p w14:paraId="76B16D13">
            <w:pPr>
              <w:pStyle w:val="22"/>
              <w:ind w:firstLine="0" w:firstLineChars="0"/>
              <w:rPr>
                <w:rFonts w:ascii="Ђˎ̥" w:hAnsi="Calibri" w:eastAsia="宋体" w:cs="宋体"/>
                <w:b w:val="0"/>
                <w:color w:val="auto"/>
                <w:kern w:val="2"/>
                <w:sz w:val="22"/>
                <w:szCs w:val="22"/>
                <w:lang w:val="en-US" w:eastAsia="zh-CN" w:bidi="ar-SA"/>
              </w:rPr>
            </w:pPr>
            <w:r>
              <w:rPr>
                <w:rFonts w:hint="eastAsia"/>
                <w:b w:val="0"/>
                <w:color w:val="auto"/>
                <w:sz w:val="22"/>
                <w:szCs w:val="22"/>
              </w:rPr>
              <w:t>CA签名确认：药师完成审方时进行电子签名确认，确认后完成审方</w:t>
            </w:r>
          </w:p>
        </w:tc>
      </w:tr>
      <w:tr w14:paraId="111A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681" w:type="dxa"/>
            <w:vAlign w:val="center"/>
          </w:tcPr>
          <w:p w14:paraId="2A50E6CE">
            <w:pPr>
              <w:pStyle w:val="28"/>
              <w:widowControl/>
              <w:numPr>
                <w:ilvl w:val="0"/>
                <w:numId w:val="0"/>
              </w:numPr>
              <w:spacing w:line="400" w:lineRule="exact"/>
              <w:ind w:leftChars="0"/>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15</w:t>
            </w:r>
          </w:p>
        </w:tc>
        <w:tc>
          <w:tcPr>
            <w:tcW w:w="1569" w:type="dxa"/>
            <w:shd w:val="clear" w:color="auto" w:fill="auto"/>
            <w:noWrap/>
            <w:vAlign w:val="center"/>
          </w:tcPr>
          <w:p w14:paraId="49F1FF07">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药品供应端系统对接——院内药房承接处方</w:t>
            </w:r>
          </w:p>
        </w:tc>
        <w:tc>
          <w:tcPr>
            <w:tcW w:w="8456" w:type="dxa"/>
            <w:shd w:val="clear" w:color="auto" w:fill="auto"/>
            <w:vAlign w:val="center"/>
          </w:tcPr>
          <w:p w14:paraId="19386552">
            <w:pPr>
              <w:widowControl/>
              <w:spacing w:line="400" w:lineRule="exact"/>
              <w:rPr>
                <w:rFonts w:hint="eastAsia" w:cs="宋体" w:asciiTheme="minorEastAsia" w:hAnsiTheme="minorEastAsia"/>
                <w:color w:val="auto"/>
                <w:kern w:val="0"/>
                <w:sz w:val="22"/>
                <w:szCs w:val="22"/>
              </w:rPr>
            </w:pPr>
            <w:r>
              <w:rPr>
                <w:rFonts w:hint="eastAsia" w:cs="宋体" w:asciiTheme="minorEastAsia" w:hAnsiTheme="minorEastAsia"/>
                <w:color w:val="auto"/>
                <w:kern w:val="0"/>
                <w:sz w:val="22"/>
                <w:szCs w:val="22"/>
              </w:rPr>
              <w:t>与医院院内药房相关系统对接，实现院内药房发药邮寄</w:t>
            </w:r>
          </w:p>
          <w:p w14:paraId="01025382">
            <w:pPr>
              <w:pStyle w:val="22"/>
              <w:ind w:firstLine="0" w:firstLineChars="0"/>
              <w:rPr>
                <w:b w:val="0"/>
                <w:color w:val="auto"/>
                <w:sz w:val="22"/>
                <w:szCs w:val="22"/>
              </w:rPr>
            </w:pPr>
            <w:r>
              <w:rPr>
                <w:rFonts w:hint="eastAsia"/>
                <w:b w:val="0"/>
                <w:color w:val="auto"/>
                <w:sz w:val="22"/>
                <w:szCs w:val="22"/>
              </w:rPr>
              <w:t>第三方服务商注册管理</w:t>
            </w:r>
            <w:r>
              <w:rPr>
                <w:rFonts w:hint="eastAsia"/>
                <w:b w:val="0"/>
                <w:color w:val="auto"/>
                <w:sz w:val="22"/>
                <w:szCs w:val="22"/>
              </w:rPr>
              <w:tab/>
            </w:r>
            <w:r>
              <w:rPr>
                <w:rFonts w:hint="eastAsia"/>
                <w:b w:val="0"/>
                <w:color w:val="auto"/>
                <w:sz w:val="22"/>
                <w:szCs w:val="22"/>
              </w:rPr>
              <w:t>：第三方服务商注册，审核成功后，可正式成为医院服务商，提供业务服务</w:t>
            </w:r>
          </w:p>
          <w:p w14:paraId="17D72DF2">
            <w:pPr>
              <w:pStyle w:val="22"/>
              <w:ind w:firstLine="0" w:firstLineChars="0"/>
              <w:rPr>
                <w:b w:val="0"/>
                <w:color w:val="auto"/>
                <w:sz w:val="22"/>
                <w:szCs w:val="22"/>
              </w:rPr>
            </w:pPr>
            <w:r>
              <w:rPr>
                <w:rFonts w:hint="eastAsia"/>
                <w:b w:val="0"/>
                <w:color w:val="auto"/>
                <w:sz w:val="22"/>
                <w:szCs w:val="22"/>
              </w:rPr>
              <w:t>药品目录信息管理</w:t>
            </w:r>
            <w:r>
              <w:rPr>
                <w:rFonts w:hint="eastAsia"/>
                <w:b w:val="0"/>
                <w:color w:val="auto"/>
                <w:sz w:val="22"/>
                <w:szCs w:val="22"/>
              </w:rPr>
              <w:tab/>
            </w:r>
            <w:r>
              <w:rPr>
                <w:rFonts w:hint="eastAsia"/>
                <w:b w:val="0"/>
                <w:color w:val="auto"/>
                <w:sz w:val="22"/>
                <w:szCs w:val="22"/>
              </w:rPr>
              <w:t>：药品目录信息导入及信息查询管理</w:t>
            </w:r>
          </w:p>
          <w:p w14:paraId="24FA5EC7">
            <w:pPr>
              <w:pStyle w:val="22"/>
              <w:ind w:firstLine="0" w:firstLineChars="0"/>
              <w:rPr>
                <w:b w:val="0"/>
                <w:color w:val="auto"/>
                <w:sz w:val="22"/>
                <w:szCs w:val="22"/>
              </w:rPr>
            </w:pPr>
            <w:r>
              <w:rPr>
                <w:rFonts w:hint="eastAsia"/>
                <w:b w:val="0"/>
                <w:color w:val="auto"/>
                <w:sz w:val="22"/>
                <w:szCs w:val="22"/>
              </w:rPr>
              <w:t>处方信息管理</w:t>
            </w:r>
            <w:r>
              <w:rPr>
                <w:rFonts w:hint="eastAsia"/>
                <w:b w:val="0"/>
                <w:color w:val="auto"/>
                <w:sz w:val="22"/>
                <w:szCs w:val="22"/>
              </w:rPr>
              <w:tab/>
            </w:r>
            <w:r>
              <w:rPr>
                <w:rFonts w:hint="eastAsia"/>
                <w:b w:val="0"/>
                <w:color w:val="auto"/>
                <w:sz w:val="22"/>
                <w:szCs w:val="22"/>
              </w:rPr>
              <w:t>：查看并管理已开具的处方单信息，可进行管理及核销</w:t>
            </w:r>
          </w:p>
          <w:p w14:paraId="765D4DF5">
            <w:pPr>
              <w:pStyle w:val="22"/>
              <w:ind w:firstLine="0" w:firstLineChars="0"/>
              <w:rPr>
                <w:rFonts w:ascii="Ђˎ̥" w:hAnsi="Calibri" w:eastAsia="宋体" w:cs="宋体"/>
                <w:b w:val="0"/>
                <w:color w:val="auto"/>
                <w:kern w:val="2"/>
                <w:sz w:val="22"/>
                <w:szCs w:val="22"/>
                <w:lang w:val="en-US" w:eastAsia="zh-CN" w:bidi="ar-SA"/>
              </w:rPr>
            </w:pPr>
            <w:r>
              <w:rPr>
                <w:rFonts w:hint="eastAsia"/>
                <w:b w:val="0"/>
                <w:color w:val="auto"/>
                <w:sz w:val="22"/>
                <w:szCs w:val="22"/>
              </w:rPr>
              <w:t>ERP系统对接</w:t>
            </w:r>
            <w:r>
              <w:rPr>
                <w:rFonts w:hint="eastAsia"/>
                <w:b w:val="0"/>
                <w:color w:val="auto"/>
                <w:sz w:val="22"/>
                <w:szCs w:val="22"/>
              </w:rPr>
              <w:tab/>
            </w:r>
            <w:r>
              <w:rPr>
                <w:rFonts w:hint="eastAsia"/>
                <w:b w:val="0"/>
                <w:color w:val="auto"/>
                <w:sz w:val="22"/>
                <w:szCs w:val="22"/>
              </w:rPr>
              <w:t>与第三方ERP系统进行对接，用过接口获取药品、库存及处方下单信息</w:t>
            </w:r>
          </w:p>
        </w:tc>
      </w:tr>
      <w:tr w14:paraId="6490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3732A40C">
            <w:pPr>
              <w:pStyle w:val="28"/>
              <w:widowControl/>
              <w:numPr>
                <w:ilvl w:val="0"/>
                <w:numId w:val="0"/>
              </w:numPr>
              <w:spacing w:line="400" w:lineRule="exact"/>
              <w:ind w:left="440" w:leftChars="0" w:hanging="440" w:firstLineChars="0"/>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bidi="ar-SA"/>
              </w:rPr>
              <w:t>16</w:t>
            </w:r>
          </w:p>
        </w:tc>
        <w:tc>
          <w:tcPr>
            <w:tcW w:w="1569" w:type="dxa"/>
            <w:shd w:val="clear" w:color="auto" w:fill="auto"/>
            <w:noWrap/>
            <w:vAlign w:val="center"/>
          </w:tcPr>
          <w:p w14:paraId="7DC1E4E4">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物流快递系统对接（顺丰）</w:t>
            </w:r>
          </w:p>
        </w:tc>
        <w:tc>
          <w:tcPr>
            <w:tcW w:w="8456" w:type="dxa"/>
            <w:shd w:val="clear" w:color="auto" w:fill="auto"/>
            <w:vAlign w:val="center"/>
          </w:tcPr>
          <w:p w14:paraId="008D95AF">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与顺丰快递物流平台进行对接，可以通过管理后台在线下单</w:t>
            </w:r>
          </w:p>
        </w:tc>
      </w:tr>
      <w:tr w14:paraId="5B9F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2F3DC2D6">
            <w:pPr>
              <w:pStyle w:val="28"/>
              <w:widowControl/>
              <w:numPr>
                <w:ilvl w:val="0"/>
                <w:numId w:val="0"/>
              </w:numPr>
              <w:spacing w:line="400" w:lineRule="exact"/>
              <w:ind w:left="440" w:leftChars="0" w:hanging="440" w:firstLineChars="0"/>
              <w:jc w:val="center"/>
              <w:rPr>
                <w:rFonts w:hint="default" w:ascii="宋体" w:hAnsi="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17</w:t>
            </w:r>
          </w:p>
        </w:tc>
        <w:tc>
          <w:tcPr>
            <w:tcW w:w="1569" w:type="dxa"/>
            <w:shd w:val="clear" w:color="auto" w:fill="auto"/>
            <w:noWrap/>
            <w:vAlign w:val="center"/>
          </w:tcPr>
          <w:p w14:paraId="70299D2F">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*省级监管平台对接</w:t>
            </w:r>
          </w:p>
        </w:tc>
        <w:tc>
          <w:tcPr>
            <w:tcW w:w="8456" w:type="dxa"/>
            <w:shd w:val="clear" w:color="auto" w:fill="auto"/>
            <w:vAlign w:val="center"/>
          </w:tcPr>
          <w:p w14:paraId="0B7B6A30">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与当地互联网医院省级监管平台对接，满足当地监管政策要求</w:t>
            </w:r>
          </w:p>
        </w:tc>
      </w:tr>
      <w:tr w14:paraId="346F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5D40D539">
            <w:pPr>
              <w:pStyle w:val="28"/>
              <w:widowControl/>
              <w:numPr>
                <w:ilvl w:val="0"/>
                <w:numId w:val="0"/>
              </w:numPr>
              <w:spacing w:line="400" w:lineRule="exact"/>
              <w:ind w:left="440" w:leftChars="0" w:hanging="440" w:firstLineChars="0"/>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18</w:t>
            </w:r>
          </w:p>
        </w:tc>
        <w:tc>
          <w:tcPr>
            <w:tcW w:w="1569" w:type="dxa"/>
            <w:shd w:val="clear" w:color="auto" w:fill="auto"/>
            <w:noWrap/>
            <w:vAlign w:val="center"/>
          </w:tcPr>
          <w:p w14:paraId="7DE3E783">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互联网医院运营管理</w:t>
            </w:r>
          </w:p>
        </w:tc>
        <w:tc>
          <w:tcPr>
            <w:tcW w:w="8456" w:type="dxa"/>
            <w:shd w:val="clear" w:color="auto" w:fill="auto"/>
            <w:vAlign w:val="center"/>
          </w:tcPr>
          <w:p w14:paraId="3FF13BDE">
            <w:pPr>
              <w:widowControl/>
              <w:spacing w:line="400" w:lineRule="exact"/>
              <w:rPr>
                <w:rFonts w:hint="eastAsia" w:eastAsia="宋体" w:cs="宋体" w:asciiTheme="minorEastAsia" w:hAnsiTheme="minorEastAsia"/>
                <w:color w:val="auto"/>
                <w:kern w:val="0"/>
                <w:sz w:val="22"/>
                <w:szCs w:val="22"/>
                <w:lang w:val="en-US" w:eastAsia="zh-CN" w:bidi="ar-SA"/>
              </w:rPr>
            </w:pPr>
            <w:r>
              <w:rPr>
                <w:rFonts w:hint="eastAsia" w:cs="宋体" w:asciiTheme="minorEastAsia" w:hAnsiTheme="minorEastAsia"/>
                <w:color w:val="auto"/>
                <w:kern w:val="0"/>
                <w:sz w:val="22"/>
                <w:szCs w:val="22"/>
              </w:rPr>
              <w:t>1、数据统计、咨询监督、评价管理、投诉管理、用户管理、系统管理、交易管理、个人中心</w:t>
            </w:r>
          </w:p>
        </w:tc>
      </w:tr>
      <w:tr w14:paraId="52A7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5FEADAE9">
            <w:pPr>
              <w:pStyle w:val="28"/>
              <w:widowControl/>
              <w:numPr>
                <w:ilvl w:val="0"/>
                <w:numId w:val="0"/>
              </w:numPr>
              <w:spacing w:line="400" w:lineRule="exact"/>
              <w:ind w:left="440" w:leftChars="0" w:hanging="440" w:firstLineChars="0"/>
              <w:jc w:val="center"/>
              <w:rPr>
                <w:rFonts w:hint="default" w:ascii="宋体" w:hAnsi="宋体" w:cs="宋体"/>
                <w:color w:val="auto"/>
                <w:kern w:val="0"/>
                <w:sz w:val="22"/>
                <w:szCs w:val="22"/>
                <w:highlight w:val="none"/>
                <w:lang w:val="en-US"/>
              </w:rPr>
            </w:pPr>
            <w:r>
              <w:rPr>
                <w:rFonts w:hint="eastAsia" w:ascii="宋体" w:hAnsi="宋体" w:eastAsia="宋体" w:cs="宋体"/>
                <w:color w:val="auto"/>
                <w:kern w:val="0"/>
                <w:sz w:val="22"/>
                <w:szCs w:val="22"/>
                <w:lang w:val="en-US" w:eastAsia="zh-CN" w:bidi="ar-SA"/>
              </w:rPr>
              <w:t>1</w:t>
            </w:r>
            <w:r>
              <w:rPr>
                <w:rFonts w:hint="eastAsia" w:ascii="宋体" w:hAnsi="宋体" w:cs="宋体"/>
                <w:color w:val="auto"/>
                <w:kern w:val="0"/>
                <w:sz w:val="22"/>
                <w:szCs w:val="22"/>
                <w:lang w:val="en-US" w:eastAsia="zh-CN" w:bidi="ar-SA"/>
              </w:rPr>
              <w:t>9</w:t>
            </w:r>
          </w:p>
        </w:tc>
        <w:tc>
          <w:tcPr>
            <w:tcW w:w="1569" w:type="dxa"/>
            <w:shd w:val="clear" w:color="auto" w:fill="auto"/>
            <w:noWrap/>
            <w:vAlign w:val="center"/>
          </w:tcPr>
          <w:p w14:paraId="091B29C6">
            <w:pPr>
              <w:widowControl/>
              <w:spacing w:line="400" w:lineRule="exact"/>
              <w:jc w:val="center"/>
              <w:rPr>
                <w:rFonts w:hint="eastAsia" w:eastAsia="宋体" w:cs="宋体" w:asciiTheme="minorEastAsia" w:hAnsiTheme="minorEastAsia"/>
                <w:color w:val="auto"/>
                <w:kern w:val="0"/>
                <w:sz w:val="22"/>
                <w:szCs w:val="22"/>
                <w:highlight w:val="none"/>
                <w:lang w:val="en-US" w:eastAsia="zh-CN" w:bidi="ar-SA"/>
              </w:rPr>
            </w:pPr>
            <w:r>
              <w:rPr>
                <w:rFonts w:hint="eastAsia"/>
                <w:color w:val="auto"/>
                <w:sz w:val="22"/>
                <w:szCs w:val="22"/>
                <w:highlight w:val="none"/>
              </w:rPr>
              <w:t>移动医保结算（</w:t>
            </w:r>
            <w:r>
              <w:rPr>
                <w:rFonts w:hint="eastAsia"/>
                <w:color w:val="auto"/>
                <w:sz w:val="22"/>
                <w:szCs w:val="22"/>
                <w:highlight w:val="none"/>
                <w:lang w:val="en-US" w:eastAsia="zh-CN"/>
              </w:rPr>
              <w:t>门诊</w:t>
            </w:r>
            <w:r>
              <w:rPr>
                <w:rFonts w:hint="eastAsia"/>
                <w:color w:val="auto"/>
                <w:sz w:val="22"/>
                <w:szCs w:val="22"/>
                <w:highlight w:val="none"/>
              </w:rPr>
              <w:t>）</w:t>
            </w:r>
          </w:p>
        </w:tc>
        <w:tc>
          <w:tcPr>
            <w:tcW w:w="8456" w:type="dxa"/>
            <w:shd w:val="clear" w:color="auto" w:fill="auto"/>
            <w:vAlign w:val="top"/>
          </w:tcPr>
          <w:p w14:paraId="64A0F865">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rPr>
              <w:t>1、医保电子凭证申领、授权：患者在医保电子凭证入口点击进入国家医保电子凭证页面，完成电子凭证申领、授权。实现未激活的用户在免密授权时可进行医保电子凭证激活。 对接线上医保电子凭证免密授权能力；</w:t>
            </w:r>
          </w:p>
          <w:p w14:paraId="2732DD48">
            <w:pPr>
              <w:widowControl/>
              <w:spacing w:line="400" w:lineRule="exact"/>
              <w:rPr>
                <w:rFonts w:hint="eastAsia" w:cs="宋体" w:asciiTheme="minorEastAsia" w:hAnsiTheme="minorEastAsia"/>
                <w:color w:val="auto"/>
                <w:kern w:val="0"/>
                <w:sz w:val="22"/>
                <w:szCs w:val="22"/>
                <w:highlight w:val="none"/>
              </w:rPr>
            </w:pPr>
            <w:r>
              <w:rPr>
                <w:rFonts w:hint="eastAsia" w:cs="宋体" w:asciiTheme="minorEastAsia" w:hAnsiTheme="minorEastAsia"/>
                <w:color w:val="auto"/>
                <w:kern w:val="0"/>
                <w:sz w:val="22"/>
                <w:szCs w:val="22"/>
                <w:highlight w:val="none"/>
              </w:rPr>
              <w:t>2、</w:t>
            </w:r>
            <w:r>
              <w:rPr>
                <w:rFonts w:hint="eastAsia"/>
                <w:color w:val="auto"/>
                <w:sz w:val="22"/>
                <w:szCs w:val="22"/>
                <w:highlight w:val="none"/>
              </w:rPr>
              <w:t>“医保+自费”混合一站式结算</w:t>
            </w:r>
            <w:r>
              <w:rPr>
                <w:rFonts w:hint="eastAsia"/>
                <w:color w:val="auto"/>
                <w:sz w:val="22"/>
                <w:szCs w:val="22"/>
                <w:highlight w:val="none"/>
              </w:rPr>
              <w:tab/>
            </w:r>
            <w:r>
              <w:rPr>
                <w:rFonts w:hint="eastAsia"/>
                <w:color w:val="auto"/>
                <w:sz w:val="22"/>
                <w:szCs w:val="22"/>
                <w:highlight w:val="none"/>
              </w:rPr>
              <w:t>实现医保用户的“医保+自费”混合一站式结算；对接线上医保移动支付标准接口；</w:t>
            </w:r>
          </w:p>
          <w:p w14:paraId="79F34FE0">
            <w:pPr>
              <w:rPr>
                <w:color w:val="auto"/>
                <w:sz w:val="22"/>
                <w:szCs w:val="22"/>
                <w:highlight w:val="none"/>
              </w:rPr>
            </w:pPr>
            <w:r>
              <w:rPr>
                <w:rFonts w:hint="eastAsia"/>
                <w:color w:val="auto"/>
                <w:sz w:val="22"/>
                <w:szCs w:val="22"/>
                <w:highlight w:val="none"/>
              </w:rPr>
              <w:t>3、门诊诊间医保支付</w:t>
            </w:r>
            <w:r>
              <w:rPr>
                <w:rFonts w:hint="eastAsia"/>
                <w:color w:val="auto"/>
                <w:sz w:val="22"/>
                <w:szCs w:val="22"/>
                <w:highlight w:val="none"/>
              </w:rPr>
              <w:tab/>
            </w:r>
            <w:r>
              <w:rPr>
                <w:rFonts w:hint="eastAsia"/>
                <w:color w:val="auto"/>
                <w:sz w:val="22"/>
                <w:szCs w:val="22"/>
                <w:highlight w:val="none"/>
              </w:rPr>
              <w:t>在医院现有官方小程序的门诊诊间缴费流程中增加医保支付的能力，方便线上患者使用医保支付。</w:t>
            </w:r>
          </w:p>
          <w:p w14:paraId="37BF353D">
            <w:pPr>
              <w:pStyle w:val="22"/>
              <w:ind w:firstLine="0" w:firstLineChars="0"/>
              <w:rPr>
                <w:color w:val="auto"/>
                <w:sz w:val="22"/>
                <w:szCs w:val="22"/>
                <w:highlight w:val="none"/>
              </w:rPr>
            </w:pPr>
            <w:r>
              <w:rPr>
                <w:rFonts w:hint="eastAsia"/>
                <w:color w:val="auto"/>
                <w:sz w:val="22"/>
                <w:szCs w:val="22"/>
                <w:highlight w:val="none"/>
              </w:rPr>
              <w:t>4、挂号、取号医保支付：在医院现有官方小程序的挂号、取号流程中增加医保支付的能力，从医院HIS系统中获取医保预结算信息，调用微信完成医保和自费的混合支付，并将医保支付结果通知HIS，方便线上患者使用医保支付，保留现有用户挂号习惯。</w:t>
            </w:r>
          </w:p>
          <w:p w14:paraId="747D9D5D">
            <w:pPr>
              <w:rPr>
                <w:color w:val="auto"/>
                <w:sz w:val="22"/>
                <w:szCs w:val="22"/>
                <w:highlight w:val="none"/>
              </w:rPr>
            </w:pPr>
            <w:r>
              <w:rPr>
                <w:rFonts w:hint="eastAsia"/>
                <w:color w:val="auto"/>
                <w:sz w:val="22"/>
                <w:szCs w:val="22"/>
                <w:highlight w:val="none"/>
              </w:rPr>
              <w:t>5、掌上智慧医院相关页面改造：按广西医保支付标准调整收银台页面。</w:t>
            </w:r>
          </w:p>
          <w:p w14:paraId="726D12E4">
            <w:pPr>
              <w:rPr>
                <w:color w:val="auto"/>
                <w:sz w:val="22"/>
                <w:szCs w:val="22"/>
                <w:highlight w:val="none"/>
              </w:rPr>
            </w:pPr>
            <w:r>
              <w:rPr>
                <w:rFonts w:hint="eastAsia"/>
                <w:color w:val="auto"/>
                <w:sz w:val="22"/>
                <w:szCs w:val="22"/>
                <w:highlight w:val="none"/>
              </w:rPr>
              <w:t>6、统一医保支付接口能力：</w:t>
            </w:r>
          </w:p>
          <w:p w14:paraId="6E573CB2">
            <w:pPr>
              <w:rPr>
                <w:color w:val="auto"/>
                <w:sz w:val="22"/>
                <w:szCs w:val="22"/>
                <w:highlight w:val="none"/>
              </w:rPr>
            </w:pPr>
            <w:r>
              <w:rPr>
                <w:rFonts w:hint="eastAsia"/>
                <w:color w:val="auto"/>
                <w:sz w:val="22"/>
                <w:szCs w:val="22"/>
                <w:highlight w:val="none"/>
              </w:rPr>
              <w:t>自费退款集成退款接口：提供给HIS等第三方退款接口，平台可以完成自费的退款。</w:t>
            </w:r>
          </w:p>
          <w:p w14:paraId="6101AA19">
            <w:pPr>
              <w:pStyle w:val="22"/>
              <w:ind w:firstLine="0" w:firstLineChars="0"/>
              <w:rPr>
                <w:rFonts w:hint="eastAsia" w:ascii="Ђˎ̥" w:hAnsi="Calibri" w:eastAsia="宋体" w:cs="宋体"/>
                <w:b/>
                <w:color w:val="auto"/>
                <w:kern w:val="2"/>
                <w:sz w:val="22"/>
                <w:szCs w:val="22"/>
                <w:highlight w:val="none"/>
                <w:lang w:val="en-US" w:eastAsia="zh-CN" w:bidi="ar-SA"/>
              </w:rPr>
            </w:pPr>
            <w:r>
              <w:rPr>
                <w:rFonts w:hint="eastAsia"/>
                <w:b w:val="0"/>
                <w:color w:val="auto"/>
                <w:sz w:val="22"/>
                <w:szCs w:val="22"/>
                <w:highlight w:val="none"/>
              </w:rPr>
              <w:t>7、医保订单查询：可在海鹚医院后台管理订单管理中，查看医保支付的信息，包含自费和医保的金额，包含支付和退款。</w:t>
            </w:r>
          </w:p>
        </w:tc>
      </w:tr>
      <w:tr w14:paraId="1B31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42DC70FE">
            <w:pPr>
              <w:pStyle w:val="28"/>
              <w:widowControl/>
              <w:numPr>
                <w:ilvl w:val="0"/>
                <w:numId w:val="0"/>
              </w:numPr>
              <w:spacing w:line="400" w:lineRule="exact"/>
              <w:ind w:left="440" w:leftChars="0" w:hanging="440" w:firstLineChars="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w:t>
            </w:r>
          </w:p>
        </w:tc>
        <w:tc>
          <w:tcPr>
            <w:tcW w:w="1569" w:type="dxa"/>
            <w:shd w:val="clear" w:color="auto" w:fill="auto"/>
            <w:noWrap/>
            <w:vAlign w:val="center"/>
          </w:tcPr>
          <w:p w14:paraId="31756F61">
            <w:pPr>
              <w:widowControl/>
              <w:spacing w:line="400" w:lineRule="exact"/>
              <w:jc w:val="center"/>
              <w:rPr>
                <w:rFonts w:hint="eastAsia" w:ascii="Calibri" w:hAnsi="Calibri" w:eastAsia="宋体" w:cs="宋体"/>
                <w:color w:val="auto"/>
                <w:kern w:val="2"/>
                <w:sz w:val="22"/>
                <w:szCs w:val="22"/>
                <w:highlight w:val="none"/>
                <w:lang w:val="en-US" w:eastAsia="zh-CN" w:bidi="ar-SA"/>
              </w:rPr>
            </w:pPr>
            <w:r>
              <w:rPr>
                <w:rFonts w:hint="eastAsia"/>
                <w:color w:val="auto"/>
                <w:sz w:val="22"/>
                <w:szCs w:val="22"/>
                <w:highlight w:val="none"/>
              </w:rPr>
              <w:t>移动医保结算（</w:t>
            </w:r>
            <w:r>
              <w:rPr>
                <w:rFonts w:hint="eastAsia"/>
                <w:color w:val="auto"/>
                <w:sz w:val="22"/>
                <w:szCs w:val="22"/>
                <w:highlight w:val="none"/>
                <w:lang w:val="en-US" w:eastAsia="zh-CN"/>
              </w:rPr>
              <w:t>住院</w:t>
            </w:r>
            <w:r>
              <w:rPr>
                <w:rFonts w:hint="eastAsia"/>
                <w:color w:val="auto"/>
                <w:sz w:val="22"/>
                <w:szCs w:val="22"/>
                <w:highlight w:val="none"/>
              </w:rPr>
              <w:t>）</w:t>
            </w:r>
          </w:p>
        </w:tc>
        <w:tc>
          <w:tcPr>
            <w:tcW w:w="8456" w:type="dxa"/>
            <w:shd w:val="clear" w:color="auto" w:fill="auto"/>
            <w:vAlign w:val="center"/>
          </w:tcPr>
          <w:p w14:paraId="6A3F0435">
            <w:pPr>
              <w:widowControl/>
              <w:spacing w:line="400" w:lineRule="exact"/>
              <w:rPr>
                <w:color w:val="auto"/>
                <w:sz w:val="22"/>
                <w:szCs w:val="22"/>
                <w:highlight w:val="none"/>
              </w:rPr>
            </w:pPr>
            <w:r>
              <w:rPr>
                <w:rFonts w:hint="eastAsia"/>
                <w:color w:val="auto"/>
                <w:sz w:val="22"/>
                <w:szCs w:val="22"/>
                <w:highlight w:val="none"/>
              </w:rPr>
              <w:t>1、患者可查询住院订单信息。根据出院结算结果，多退少补，完成出院结算操作，查询出院结算详情。</w:t>
            </w:r>
            <w:r>
              <w:rPr>
                <w:rFonts w:hint="eastAsia"/>
                <w:color w:val="auto"/>
                <w:sz w:val="22"/>
                <w:szCs w:val="22"/>
                <w:highlight w:val="none"/>
              </w:rPr>
              <w:br w:type="textWrapping"/>
            </w:r>
            <w:r>
              <w:rPr>
                <w:rFonts w:hint="eastAsia"/>
                <w:color w:val="auto"/>
                <w:sz w:val="22"/>
                <w:szCs w:val="22"/>
                <w:highlight w:val="none"/>
              </w:rPr>
              <w:t>2、管理人员能够查看到所有住院缴费订单的详细信息，包括患者姓名、支付金额、支付时间、支付流水号等，能够查看到所有出院结算订单的详细信息，包括患者姓名、住院号、办理渠道、支付金额、退款金额等</w:t>
            </w:r>
          </w:p>
          <w:p w14:paraId="0A324F9B">
            <w:pPr>
              <w:pStyle w:val="22"/>
              <w:ind w:firstLine="0" w:firstLineChars="0"/>
              <w:rPr>
                <w:b w:val="0"/>
                <w:color w:val="auto"/>
                <w:sz w:val="22"/>
                <w:szCs w:val="22"/>
                <w:highlight w:val="none"/>
              </w:rPr>
            </w:pPr>
            <w:r>
              <w:rPr>
                <w:rFonts w:hint="eastAsia"/>
                <w:b w:val="0"/>
                <w:color w:val="auto"/>
                <w:sz w:val="22"/>
                <w:szCs w:val="22"/>
                <w:highlight w:val="none"/>
              </w:rPr>
              <w:t>3、出院信息查询：查询判断患者是否具备出院条件，如具备条件则展示出院结算结果</w:t>
            </w:r>
          </w:p>
          <w:p w14:paraId="29C552F8">
            <w:pPr>
              <w:pStyle w:val="22"/>
              <w:ind w:firstLine="0" w:firstLineChars="0"/>
              <w:rPr>
                <w:b w:val="0"/>
                <w:color w:val="auto"/>
                <w:sz w:val="22"/>
                <w:szCs w:val="22"/>
                <w:highlight w:val="none"/>
              </w:rPr>
            </w:pPr>
            <w:r>
              <w:rPr>
                <w:rFonts w:hint="eastAsia"/>
                <w:b w:val="0"/>
                <w:color w:val="auto"/>
                <w:sz w:val="22"/>
                <w:szCs w:val="22"/>
                <w:highlight w:val="none"/>
              </w:rPr>
              <w:t>4、结算缴费：根据出院结算结果，统计费用，多退少补住院预缴金，完成出院结算操作</w:t>
            </w:r>
          </w:p>
          <w:p w14:paraId="77FF83D1">
            <w:pPr>
              <w:pStyle w:val="22"/>
              <w:ind w:firstLine="0" w:firstLineChars="0"/>
              <w:rPr>
                <w:b w:val="0"/>
                <w:color w:val="auto"/>
                <w:sz w:val="22"/>
                <w:szCs w:val="22"/>
                <w:highlight w:val="none"/>
              </w:rPr>
            </w:pPr>
            <w:r>
              <w:rPr>
                <w:rFonts w:hint="eastAsia"/>
                <w:b w:val="0"/>
                <w:color w:val="auto"/>
                <w:sz w:val="22"/>
                <w:szCs w:val="22"/>
                <w:highlight w:val="none"/>
              </w:rPr>
              <w:t>5、出院结算缴费记录列表：支持查看出院结算的缴费记录列表</w:t>
            </w:r>
          </w:p>
          <w:p w14:paraId="3055B563">
            <w:pPr>
              <w:pStyle w:val="22"/>
              <w:ind w:firstLine="0" w:firstLineChars="0"/>
              <w:rPr>
                <w:rFonts w:hint="eastAsia"/>
                <w:b w:val="0"/>
                <w:color w:val="auto"/>
                <w:sz w:val="22"/>
                <w:szCs w:val="22"/>
                <w:highlight w:val="none"/>
              </w:rPr>
            </w:pPr>
            <w:r>
              <w:rPr>
                <w:rFonts w:hint="eastAsia"/>
                <w:b w:val="0"/>
                <w:color w:val="auto"/>
                <w:sz w:val="22"/>
                <w:szCs w:val="22"/>
                <w:highlight w:val="none"/>
              </w:rPr>
              <w:t>6、出院结算缴费记录详情：支持查看当前住院人的出院结算缴费记录详情信息，包括费用类型、住院楼栋、床号、科室、住院人、缴纳金额情况；</w:t>
            </w:r>
          </w:p>
          <w:p w14:paraId="6056C60E">
            <w:pPr>
              <w:widowControl/>
              <w:spacing w:line="400" w:lineRule="exact"/>
              <w:rPr>
                <w:color w:val="auto"/>
                <w:sz w:val="22"/>
                <w:szCs w:val="22"/>
                <w:highlight w:val="none"/>
              </w:rPr>
            </w:pPr>
            <w:r>
              <w:rPr>
                <w:rFonts w:hint="eastAsia"/>
                <w:color w:val="auto"/>
                <w:sz w:val="22"/>
                <w:szCs w:val="22"/>
                <w:highlight w:val="none"/>
                <w:lang w:val="en-US" w:eastAsia="zh-CN"/>
              </w:rPr>
              <w:t>7</w:t>
            </w:r>
            <w:r>
              <w:rPr>
                <w:rFonts w:hint="eastAsia"/>
                <w:color w:val="auto"/>
                <w:sz w:val="22"/>
                <w:szCs w:val="22"/>
                <w:highlight w:val="none"/>
              </w:rPr>
              <w:t>、在医院住院出院结算流程中增加住院医保支付的能力，支持患者通过医院微信小程序进行住院医保缴费，不需要额外跳转其他</w:t>
            </w:r>
            <w:r>
              <w:rPr>
                <w:color w:val="auto"/>
                <w:sz w:val="22"/>
                <w:szCs w:val="22"/>
                <w:highlight w:val="none"/>
              </w:rPr>
              <w:t>APP</w:t>
            </w:r>
            <w:r>
              <w:rPr>
                <w:rFonts w:hint="eastAsia"/>
                <w:color w:val="auto"/>
                <w:sz w:val="22"/>
                <w:szCs w:val="22"/>
                <w:highlight w:val="none"/>
              </w:rPr>
              <w:t>，在医院原有小程序上进行住院医保结算，保留现有出院用户线上结算习惯。</w:t>
            </w:r>
          </w:p>
          <w:p w14:paraId="492A1711">
            <w:pPr>
              <w:widowControl/>
              <w:spacing w:line="400" w:lineRule="exact"/>
              <w:rPr>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、退现金提醒，患者点击办理出院，如果存在现金退款，则提示患者前往人工窗口进行结算。</w:t>
            </w:r>
          </w:p>
          <w:p w14:paraId="31E8B861">
            <w:pPr>
              <w:pStyle w:val="22"/>
              <w:ind w:firstLine="0" w:firstLineChars="0"/>
              <w:rPr>
                <w:b w:val="0"/>
                <w:color w:val="auto"/>
                <w:sz w:val="22"/>
                <w:szCs w:val="22"/>
                <w:highlight w:val="none"/>
              </w:rPr>
            </w:pPr>
            <w:r>
              <w:rPr>
                <w:rFonts w:hint="eastAsia"/>
                <w:b w:val="0"/>
                <w:color w:val="auto"/>
                <w:sz w:val="22"/>
                <w:szCs w:val="22"/>
                <w:highlight w:val="none"/>
                <w:lang w:val="en-US" w:eastAsia="zh-CN"/>
              </w:rPr>
              <w:t>9</w:t>
            </w:r>
            <w:r>
              <w:rPr>
                <w:rFonts w:hint="eastAsia"/>
                <w:b w:val="0"/>
                <w:color w:val="auto"/>
                <w:sz w:val="22"/>
                <w:szCs w:val="22"/>
                <w:highlight w:val="none"/>
              </w:rPr>
              <w:t>、出院线上医保统筹支付：已开放住院线上结算医保的地区，支持患者在手机上进行线上医保出院结算时自动进行医保结算，系统自动结算得出医保金额和自费金额，医保金额由医保统筹支付，自费金额抵扣患者缴纳的住院押金，多退少补</w:t>
            </w:r>
          </w:p>
          <w:p w14:paraId="483BBF3E">
            <w:pPr>
              <w:rPr>
                <w:rFonts w:hint="eastAsia"/>
                <w:color w:val="auto"/>
                <w:sz w:val="22"/>
                <w:szCs w:val="22"/>
                <w:highlight w:val="none"/>
                <w:lang w:val="en-US" w:eastAsia="zh-CN"/>
              </w:rPr>
            </w:pPr>
            <w:r>
              <w:rPr>
                <w:rFonts w:hint="eastAsia"/>
                <w:b w:val="0"/>
                <w:color w:val="auto"/>
                <w:sz w:val="22"/>
                <w:szCs w:val="22"/>
                <w:highlight w:val="none"/>
                <w:lang w:val="en-US" w:eastAsia="zh-CN"/>
              </w:rPr>
              <w:t>10</w:t>
            </w:r>
            <w:r>
              <w:rPr>
                <w:rFonts w:hint="eastAsia"/>
                <w:b w:val="0"/>
                <w:color w:val="auto"/>
                <w:sz w:val="22"/>
                <w:szCs w:val="22"/>
                <w:highlight w:val="none"/>
              </w:rPr>
              <w:t>、出院线上医保个账支付：已开放出院线上医保个账支付的地区，支持患者直接使用医保个账的余额支付出院结算费用</w:t>
            </w:r>
          </w:p>
        </w:tc>
      </w:tr>
      <w:tr w14:paraId="47E7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2B0D72DC">
            <w:pPr>
              <w:pStyle w:val="28"/>
              <w:widowControl/>
              <w:numPr>
                <w:ilvl w:val="0"/>
                <w:numId w:val="0"/>
              </w:numPr>
              <w:spacing w:line="400" w:lineRule="exact"/>
              <w:ind w:left="440" w:leftChars="0" w:hanging="440" w:firstLineChars="0"/>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bidi="ar-SA"/>
              </w:rPr>
              <w:t>21</w:t>
            </w:r>
          </w:p>
        </w:tc>
        <w:tc>
          <w:tcPr>
            <w:tcW w:w="1569" w:type="dxa"/>
            <w:shd w:val="clear" w:color="auto" w:fill="auto"/>
            <w:noWrap/>
            <w:vAlign w:val="center"/>
          </w:tcPr>
          <w:p w14:paraId="520E3CE0">
            <w:pPr>
              <w:widowControl/>
              <w:spacing w:line="400" w:lineRule="exact"/>
              <w:rPr>
                <w:rFonts w:ascii="Calibri" w:hAnsi="Calibri" w:eastAsia="宋体" w:cs="宋体"/>
                <w:kern w:val="2"/>
                <w:sz w:val="22"/>
                <w:szCs w:val="22"/>
                <w:lang w:val="en-US" w:eastAsia="zh-CN" w:bidi="ar-SA"/>
              </w:rPr>
            </w:pPr>
            <w:r>
              <w:rPr>
                <w:rFonts w:hint="eastAsia"/>
                <w:sz w:val="22"/>
                <w:szCs w:val="22"/>
              </w:rPr>
              <w:t>查询历史检查/检验报告</w:t>
            </w:r>
          </w:p>
        </w:tc>
        <w:tc>
          <w:tcPr>
            <w:tcW w:w="8456" w:type="dxa"/>
            <w:shd w:val="clear" w:color="auto" w:fill="auto"/>
            <w:vAlign w:val="center"/>
          </w:tcPr>
          <w:p w14:paraId="411C3C0B">
            <w:pPr>
              <w:widowControl/>
              <w:spacing w:line="400" w:lineRule="exact"/>
              <w:jc w:val="left"/>
              <w:rPr>
                <w:rFonts w:ascii="Calibri" w:hAnsi="Calibri" w:eastAsia="宋体" w:cs="宋体"/>
                <w:kern w:val="2"/>
                <w:sz w:val="22"/>
                <w:szCs w:val="22"/>
                <w:lang w:val="en-US" w:eastAsia="zh-CN" w:bidi="ar-SA"/>
              </w:rPr>
            </w:pPr>
            <w:r>
              <w:rPr>
                <w:rFonts w:hint="eastAsia"/>
                <w:sz w:val="22"/>
                <w:szCs w:val="22"/>
              </w:rPr>
              <w:t>打通医院信息系统后，患者可查看过往检查检验报告信息。患者可手动上传报告，方便医生接诊做出更加准确的诊疗。检查检验报告结果显示本次检查的文字报告，不支持图片。</w:t>
            </w:r>
          </w:p>
        </w:tc>
      </w:tr>
      <w:tr w14:paraId="1064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48517F40">
            <w:pPr>
              <w:pStyle w:val="28"/>
              <w:widowControl/>
              <w:numPr>
                <w:ilvl w:val="0"/>
                <w:numId w:val="0"/>
              </w:numPr>
              <w:spacing w:line="400" w:lineRule="exact"/>
              <w:ind w:left="440" w:leftChars="0" w:hanging="440" w:firstLineChars="0"/>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bidi="ar-SA"/>
              </w:rPr>
              <w:t>22</w:t>
            </w:r>
          </w:p>
        </w:tc>
        <w:tc>
          <w:tcPr>
            <w:tcW w:w="1569" w:type="dxa"/>
            <w:shd w:val="clear" w:color="auto" w:fill="auto"/>
            <w:noWrap/>
            <w:vAlign w:val="center"/>
          </w:tcPr>
          <w:p w14:paraId="433309B1">
            <w:pPr>
              <w:widowControl/>
              <w:spacing w:line="400" w:lineRule="exact"/>
              <w:rPr>
                <w:rFonts w:ascii="Calibri" w:hAnsi="Calibri" w:eastAsia="宋体" w:cs="宋体"/>
                <w:kern w:val="2"/>
                <w:sz w:val="22"/>
                <w:szCs w:val="22"/>
                <w:lang w:val="en-US" w:eastAsia="zh-CN" w:bidi="ar-SA"/>
              </w:rPr>
            </w:pPr>
            <w:r>
              <w:rPr>
                <w:rFonts w:hint="eastAsia"/>
                <w:sz w:val="22"/>
                <w:szCs w:val="22"/>
              </w:rPr>
              <w:t>患者病历查看</w:t>
            </w:r>
          </w:p>
        </w:tc>
        <w:tc>
          <w:tcPr>
            <w:tcW w:w="8456" w:type="dxa"/>
            <w:shd w:val="clear" w:color="auto" w:fill="auto"/>
            <w:vAlign w:val="center"/>
          </w:tcPr>
          <w:p w14:paraId="32FB2127">
            <w:pPr>
              <w:widowControl/>
              <w:spacing w:line="400" w:lineRule="exact"/>
              <w:jc w:val="left"/>
              <w:rPr>
                <w:rFonts w:ascii="Calibri" w:hAnsi="Calibri" w:eastAsia="宋体" w:cs="宋体"/>
                <w:kern w:val="2"/>
                <w:sz w:val="22"/>
                <w:szCs w:val="22"/>
                <w:lang w:val="en-US" w:eastAsia="zh-CN" w:bidi="ar-SA"/>
              </w:rPr>
            </w:pPr>
            <w:r>
              <w:rPr>
                <w:rFonts w:hint="eastAsia"/>
                <w:sz w:val="22"/>
                <w:szCs w:val="22"/>
              </w:rPr>
              <w:t>患者也可查看过往电子病历；</w:t>
            </w:r>
          </w:p>
        </w:tc>
      </w:tr>
      <w:tr w14:paraId="76BA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65EBB5CF">
            <w:pPr>
              <w:pStyle w:val="28"/>
              <w:widowControl/>
              <w:numPr>
                <w:ilvl w:val="0"/>
                <w:numId w:val="0"/>
              </w:numPr>
              <w:spacing w:line="400" w:lineRule="exact"/>
              <w:ind w:left="440" w:leftChars="0" w:hanging="440" w:firstLineChars="0"/>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bidi="ar-SA"/>
              </w:rPr>
              <w:t>23</w:t>
            </w:r>
          </w:p>
        </w:tc>
        <w:tc>
          <w:tcPr>
            <w:tcW w:w="1569" w:type="dxa"/>
            <w:shd w:val="clear" w:color="auto" w:fill="auto"/>
            <w:noWrap/>
            <w:vAlign w:val="center"/>
          </w:tcPr>
          <w:p w14:paraId="1B6914A4">
            <w:pPr>
              <w:widowControl/>
              <w:spacing w:line="400" w:lineRule="exact"/>
              <w:jc w:val="center"/>
              <w:rPr>
                <w:rFonts w:ascii="Calibri" w:hAnsi="Calibri" w:eastAsia="宋体" w:cs="宋体"/>
                <w:kern w:val="2"/>
                <w:sz w:val="22"/>
                <w:szCs w:val="22"/>
                <w:lang w:val="en-US" w:eastAsia="zh-CN" w:bidi="ar-SA"/>
              </w:rPr>
            </w:pPr>
            <w:r>
              <w:rPr>
                <w:rFonts w:hint="eastAsia"/>
                <w:sz w:val="22"/>
                <w:szCs w:val="22"/>
              </w:rPr>
              <w:t>CA签名（1万次）</w:t>
            </w:r>
          </w:p>
        </w:tc>
        <w:tc>
          <w:tcPr>
            <w:tcW w:w="8456" w:type="dxa"/>
            <w:shd w:val="clear" w:color="auto" w:fill="auto"/>
            <w:vAlign w:val="center"/>
          </w:tcPr>
          <w:p w14:paraId="646F0449">
            <w:pPr>
              <w:widowControl/>
              <w:spacing w:line="400" w:lineRule="exact"/>
              <w:jc w:val="left"/>
              <w:rPr>
                <w:rFonts w:ascii="Calibri" w:hAnsi="Calibri" w:eastAsia="宋体" w:cs="宋体"/>
                <w:kern w:val="2"/>
                <w:sz w:val="22"/>
                <w:szCs w:val="22"/>
                <w:lang w:val="en-US" w:eastAsia="zh-CN" w:bidi="ar-SA"/>
              </w:rPr>
            </w:pPr>
            <w:r>
              <w:rPr>
                <w:rFonts w:hint="eastAsia"/>
                <w:sz w:val="22"/>
                <w:szCs w:val="22"/>
              </w:rPr>
              <w:t>移动端采集医生签名后，医生可使用医生端对书写的病历、处方进行电子签名，医院有移动端也可对接</w:t>
            </w:r>
          </w:p>
        </w:tc>
      </w:tr>
      <w:tr w14:paraId="35A3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2DFE4A71">
            <w:pPr>
              <w:pStyle w:val="28"/>
              <w:widowControl/>
              <w:numPr>
                <w:ilvl w:val="0"/>
                <w:numId w:val="0"/>
              </w:numPr>
              <w:spacing w:line="400" w:lineRule="exact"/>
              <w:ind w:left="440" w:leftChars="0" w:hanging="440" w:firstLineChars="0"/>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bidi="ar-SA"/>
              </w:rPr>
              <w:t>24</w:t>
            </w:r>
          </w:p>
        </w:tc>
        <w:tc>
          <w:tcPr>
            <w:tcW w:w="1569" w:type="dxa"/>
            <w:shd w:val="clear" w:color="auto" w:fill="auto"/>
            <w:noWrap/>
            <w:vAlign w:val="center"/>
          </w:tcPr>
          <w:p w14:paraId="6DAC13B9">
            <w:pPr>
              <w:widowControl/>
              <w:spacing w:line="400" w:lineRule="exact"/>
              <w:jc w:val="center"/>
              <w:rPr>
                <w:rFonts w:ascii="Calibri" w:hAnsi="Calibri" w:eastAsia="宋体" w:cs="宋体"/>
                <w:kern w:val="2"/>
                <w:sz w:val="22"/>
                <w:szCs w:val="22"/>
                <w:lang w:val="en-US" w:eastAsia="zh-CN" w:bidi="ar-SA"/>
              </w:rPr>
            </w:pPr>
            <w:r>
              <w:rPr>
                <w:rFonts w:hint="eastAsia"/>
                <w:sz w:val="22"/>
                <w:szCs w:val="22"/>
              </w:rPr>
              <w:t>互联网医院更换his系统重新对接服务</w:t>
            </w:r>
          </w:p>
        </w:tc>
        <w:tc>
          <w:tcPr>
            <w:tcW w:w="8456" w:type="dxa"/>
            <w:shd w:val="clear" w:color="auto" w:fill="auto"/>
            <w:vAlign w:val="center"/>
          </w:tcPr>
          <w:p w14:paraId="035C0A02">
            <w:pPr>
              <w:widowControl/>
              <w:spacing w:line="400" w:lineRule="exact"/>
              <w:jc w:val="left"/>
              <w:rPr>
                <w:rFonts w:ascii="Calibri" w:hAnsi="Calibri" w:eastAsia="宋体" w:cs="宋体"/>
                <w:kern w:val="2"/>
                <w:sz w:val="22"/>
                <w:szCs w:val="22"/>
                <w:lang w:val="en-US" w:eastAsia="zh-CN" w:bidi="ar-SA"/>
              </w:rPr>
            </w:pPr>
            <w:r>
              <w:rPr>
                <w:rFonts w:hint="eastAsia"/>
                <w:sz w:val="22"/>
                <w:szCs w:val="22"/>
              </w:rPr>
              <w:t>医院更换新his系统后，承诺包含新接口重新对接服务1次。</w:t>
            </w:r>
          </w:p>
        </w:tc>
      </w:tr>
      <w:tr w14:paraId="0DC6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55E61E03">
            <w:pPr>
              <w:pStyle w:val="28"/>
              <w:widowControl/>
              <w:numPr>
                <w:ilvl w:val="0"/>
                <w:numId w:val="0"/>
              </w:numPr>
              <w:spacing w:line="400" w:lineRule="exact"/>
              <w:ind w:left="440" w:leftChars="0" w:hanging="440" w:firstLineChars="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1569" w:type="dxa"/>
            <w:shd w:val="clear" w:color="auto" w:fill="auto"/>
            <w:noWrap/>
            <w:vAlign w:val="center"/>
          </w:tcPr>
          <w:p w14:paraId="38A1C32C">
            <w:pPr>
              <w:widowControl/>
              <w:spacing w:line="400" w:lineRule="exact"/>
              <w:rPr>
                <w:rFonts w:hint="eastAsia" w:eastAsia="宋体" w:cs="宋体" w:asciiTheme="minorEastAsia" w:hAnsiTheme="minorEastAsia"/>
                <w:color w:val="000000"/>
                <w:kern w:val="2"/>
                <w:sz w:val="22"/>
                <w:szCs w:val="22"/>
                <w:highlight w:val="none"/>
                <w:lang w:val="en-US" w:eastAsia="zh-CN" w:bidi="ar-SA"/>
              </w:rPr>
            </w:pPr>
            <w:r>
              <w:rPr>
                <w:rFonts w:hint="eastAsia" w:asciiTheme="minorEastAsia" w:hAnsiTheme="minorEastAsia"/>
                <w:color w:val="000000"/>
                <w:sz w:val="22"/>
                <w:szCs w:val="22"/>
                <w:highlight w:val="none"/>
              </w:rPr>
              <w:t>自助入院</w:t>
            </w:r>
          </w:p>
        </w:tc>
        <w:tc>
          <w:tcPr>
            <w:tcW w:w="8456" w:type="dxa"/>
            <w:shd w:val="clear" w:color="auto" w:fill="auto"/>
            <w:vAlign w:val="center"/>
          </w:tcPr>
          <w:p w14:paraId="625EB830">
            <w:pPr>
              <w:widowControl/>
              <w:spacing w:line="400" w:lineRule="exact"/>
              <w:rPr>
                <w:rFonts w:hint="eastAsia" w:cs="宋体" w:asciiTheme="minorEastAsia" w:hAnsiTheme="minorEastAsia"/>
                <w:color w:val="000000"/>
                <w:kern w:val="0"/>
                <w:sz w:val="22"/>
                <w:szCs w:val="22"/>
                <w:highlight w:val="none"/>
              </w:rPr>
            </w:pPr>
            <w:r>
              <w:rPr>
                <w:rFonts w:hint="eastAsia" w:cs="宋体" w:asciiTheme="minorEastAsia" w:hAnsiTheme="minorEastAsia"/>
                <w:color w:val="000000"/>
                <w:kern w:val="0"/>
                <w:sz w:val="22"/>
                <w:szCs w:val="22"/>
                <w:highlight w:val="none"/>
              </w:rPr>
              <w:t>1、患者可以通过微信小程序提前完成入院登记、缴费、资料提交等步骤。</w:t>
            </w:r>
          </w:p>
          <w:p w14:paraId="1278FF84">
            <w:pPr>
              <w:widowControl/>
              <w:spacing w:line="400" w:lineRule="exact"/>
              <w:rPr>
                <w:rFonts w:hint="eastAsia" w:cs="宋体" w:asciiTheme="minorEastAsia" w:hAnsiTheme="minorEastAsia"/>
                <w:color w:val="000000"/>
                <w:kern w:val="0"/>
                <w:sz w:val="22"/>
                <w:szCs w:val="22"/>
                <w:highlight w:val="none"/>
              </w:rPr>
            </w:pPr>
            <w:r>
              <w:rPr>
                <w:rFonts w:hint="eastAsia" w:cs="宋体" w:asciiTheme="minorEastAsia" w:hAnsiTheme="minorEastAsia"/>
                <w:color w:val="000000"/>
                <w:kern w:val="0"/>
                <w:sz w:val="22"/>
                <w:szCs w:val="22"/>
                <w:highlight w:val="none"/>
              </w:rPr>
              <w:t>2、需支持患者在微信小程序中填写患者信息包括但不限于、患者基本、联系方式现住址、职业等内容。</w:t>
            </w:r>
          </w:p>
          <w:p w14:paraId="64C5A38B">
            <w:pPr>
              <w:widowControl/>
              <w:spacing w:line="400" w:lineRule="exact"/>
              <w:rPr>
                <w:rFonts w:hint="eastAsia" w:cs="宋体" w:asciiTheme="minorEastAsia" w:hAnsiTheme="minorEastAsia"/>
                <w:color w:val="000000"/>
                <w:kern w:val="0"/>
                <w:sz w:val="22"/>
                <w:szCs w:val="22"/>
                <w:highlight w:val="none"/>
              </w:rPr>
            </w:pPr>
            <w:r>
              <w:rPr>
                <w:rFonts w:hint="eastAsia" w:cs="宋体" w:asciiTheme="minorEastAsia" w:hAnsiTheme="minorEastAsia"/>
                <w:color w:val="000000"/>
                <w:kern w:val="0"/>
                <w:sz w:val="22"/>
                <w:szCs w:val="22"/>
                <w:highlight w:val="none"/>
              </w:rPr>
              <w:t>3、需对接院内信息系统，实现数据互联互通。</w:t>
            </w:r>
          </w:p>
          <w:p w14:paraId="0993F007">
            <w:pPr>
              <w:widowControl/>
              <w:spacing w:line="400" w:lineRule="exact"/>
              <w:rPr>
                <w:rFonts w:hint="eastAsia" w:cs="宋体" w:asciiTheme="minorEastAsia" w:hAnsiTheme="minorEastAsia"/>
                <w:color w:val="000000"/>
                <w:kern w:val="0"/>
                <w:sz w:val="22"/>
                <w:szCs w:val="22"/>
                <w:highlight w:val="none"/>
              </w:rPr>
            </w:pPr>
            <w:r>
              <w:rPr>
                <w:rFonts w:hint="eastAsia" w:cs="宋体" w:asciiTheme="minorEastAsia" w:hAnsiTheme="minorEastAsia"/>
                <w:color w:val="000000"/>
                <w:kern w:val="0"/>
                <w:sz w:val="22"/>
                <w:szCs w:val="22"/>
                <w:highlight w:val="none"/>
              </w:rPr>
              <w:t>4、需支持微信消息推送，医院给患者开具住院单后，需推送微信消息给患者，并支持点击微信消息可直接跳转到自助入院功能模块。</w:t>
            </w:r>
          </w:p>
          <w:p w14:paraId="340B2F99">
            <w:pPr>
              <w:widowControl/>
              <w:spacing w:line="400" w:lineRule="exact"/>
              <w:rPr>
                <w:rFonts w:hint="eastAsia" w:eastAsia="宋体" w:cs="宋体" w:asciiTheme="minorEastAsia" w:hAnsiTheme="minorEastAsia"/>
                <w:color w:val="000000"/>
                <w:kern w:val="0"/>
                <w:sz w:val="22"/>
                <w:szCs w:val="22"/>
                <w:highlight w:val="none"/>
                <w:lang w:val="en-US" w:eastAsia="zh-CN" w:bidi="ar-SA"/>
              </w:rPr>
            </w:pPr>
            <w:r>
              <w:rPr>
                <w:rFonts w:hint="eastAsia" w:cs="宋体" w:asciiTheme="minorEastAsia" w:hAnsiTheme="minorEastAsia"/>
                <w:color w:val="000000"/>
                <w:kern w:val="0"/>
                <w:sz w:val="22"/>
                <w:szCs w:val="22"/>
                <w:highlight w:val="none"/>
              </w:rPr>
              <w:t>5、需支持患者入院信息后，跳转到押金交纳界面。</w:t>
            </w:r>
          </w:p>
        </w:tc>
      </w:tr>
      <w:tr w14:paraId="5AE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56981F03">
            <w:pPr>
              <w:pStyle w:val="28"/>
              <w:widowControl/>
              <w:numPr>
                <w:ilvl w:val="0"/>
                <w:numId w:val="0"/>
              </w:numPr>
              <w:spacing w:line="400" w:lineRule="exact"/>
              <w:ind w:left="440" w:leftChars="0" w:hanging="440" w:firstLineChars="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1569" w:type="dxa"/>
            <w:shd w:val="clear" w:color="auto" w:fill="auto"/>
            <w:noWrap/>
            <w:vAlign w:val="center"/>
          </w:tcPr>
          <w:p w14:paraId="56DD05A6">
            <w:pPr>
              <w:widowControl/>
              <w:spacing w:line="400" w:lineRule="exact"/>
              <w:rPr>
                <w:rFonts w:hint="default" w:eastAsia="宋体" w:cs="宋体" w:asciiTheme="minorEastAsia" w:hAnsiTheme="minorEastAsia"/>
                <w:color w:val="000000"/>
                <w:kern w:val="2"/>
                <w:sz w:val="22"/>
                <w:szCs w:val="22"/>
                <w:highlight w:val="none"/>
                <w:lang w:val="en-US" w:eastAsia="zh-CN" w:bidi="ar-SA"/>
              </w:rPr>
            </w:pPr>
            <w:r>
              <w:rPr>
                <w:rFonts w:hint="eastAsia" w:asciiTheme="minorEastAsia" w:hAnsiTheme="minorEastAsia"/>
                <w:color w:val="000000"/>
                <w:sz w:val="22"/>
                <w:szCs w:val="22"/>
                <w:highlight w:val="none"/>
              </w:rPr>
              <w:t>智慧医院全民健康信息平台检验互认调用改造</w:t>
            </w:r>
          </w:p>
        </w:tc>
        <w:tc>
          <w:tcPr>
            <w:tcW w:w="8456" w:type="dxa"/>
            <w:shd w:val="clear" w:color="auto" w:fill="auto"/>
            <w:vAlign w:val="center"/>
          </w:tcPr>
          <w:p w14:paraId="6F166E7A">
            <w:pPr>
              <w:widowControl/>
              <w:spacing w:line="400" w:lineRule="exact"/>
              <w:rPr>
                <w:rFonts w:hint="eastAsia" w:cs="宋体" w:asciiTheme="minorEastAsia" w:hAnsiTheme="minorEastAsia"/>
                <w:color w:val="000000"/>
                <w:kern w:val="0"/>
                <w:sz w:val="22"/>
                <w:szCs w:val="22"/>
                <w:highlight w:val="none"/>
              </w:rPr>
            </w:pPr>
            <w:r>
              <w:rPr>
                <w:rFonts w:hint="eastAsia" w:cs="宋体" w:asciiTheme="minorEastAsia" w:hAnsiTheme="minorEastAsia"/>
                <w:color w:val="000000"/>
                <w:kern w:val="0"/>
                <w:sz w:val="22"/>
                <w:szCs w:val="22"/>
                <w:highlight w:val="none"/>
              </w:rPr>
              <w:t>1）完成医院现有信息系统与广西全民健康信息平台的数据上传及应用接口开发工作，完成预约挂号的授权改造</w:t>
            </w:r>
          </w:p>
          <w:p w14:paraId="1D5FF13B">
            <w:pPr>
              <w:widowControl/>
              <w:spacing w:line="400" w:lineRule="exact"/>
              <w:rPr>
                <w:rFonts w:hint="eastAsia" w:cs="宋体" w:asciiTheme="minorEastAsia" w:hAnsiTheme="minorEastAsia"/>
                <w:color w:val="000000"/>
                <w:kern w:val="0"/>
                <w:sz w:val="22"/>
                <w:szCs w:val="22"/>
                <w:highlight w:val="none"/>
              </w:rPr>
            </w:pPr>
            <w:r>
              <w:rPr>
                <w:rFonts w:hint="eastAsia" w:cs="宋体" w:asciiTheme="minorEastAsia" w:hAnsiTheme="minorEastAsia"/>
                <w:color w:val="000000"/>
                <w:kern w:val="0"/>
                <w:sz w:val="22"/>
                <w:szCs w:val="22"/>
                <w:highlight w:val="none"/>
              </w:rPr>
              <w:t>2）预约挂号界面支持知情同意书内容展示与确认。</w:t>
            </w:r>
          </w:p>
          <w:p w14:paraId="424B2B2A">
            <w:pPr>
              <w:widowControl/>
              <w:spacing w:line="400" w:lineRule="exact"/>
              <w:rPr>
                <w:rFonts w:hint="default" w:eastAsia="宋体" w:cs="宋体" w:asciiTheme="minorEastAsia" w:hAnsiTheme="minorEastAsia"/>
                <w:color w:val="000000"/>
                <w:kern w:val="0"/>
                <w:sz w:val="22"/>
                <w:szCs w:val="22"/>
                <w:highlight w:val="none"/>
                <w:lang w:val="en-US" w:eastAsia="zh-CN" w:bidi="ar-SA"/>
              </w:rPr>
            </w:pPr>
            <w:r>
              <w:rPr>
                <w:rFonts w:hint="eastAsia" w:cs="宋体" w:asciiTheme="minorEastAsia" w:hAnsiTheme="minorEastAsia"/>
                <w:color w:val="000000"/>
                <w:kern w:val="0"/>
                <w:sz w:val="22"/>
                <w:szCs w:val="22"/>
                <w:highlight w:val="none"/>
              </w:rPr>
              <w:t>3）支持患者确认知情同意书以后，进行预约挂号并支付相关挂号费用操作，并把数据传到全民健康平台</w:t>
            </w:r>
          </w:p>
        </w:tc>
      </w:tr>
      <w:tr w14:paraId="3E85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4683C281">
            <w:pPr>
              <w:pStyle w:val="28"/>
              <w:widowControl/>
              <w:numPr>
                <w:ilvl w:val="0"/>
                <w:numId w:val="0"/>
              </w:numPr>
              <w:spacing w:line="400" w:lineRule="exact"/>
              <w:ind w:left="440" w:leftChars="0" w:hanging="440" w:firstLineChars="0"/>
              <w:jc w:val="center"/>
              <w:rPr>
                <w:rFonts w:hint="default" w:ascii="宋体" w:hAnsi="宋体" w:cs="宋体"/>
                <w:color w:val="000000"/>
                <w:kern w:val="0"/>
                <w:sz w:val="22"/>
                <w:szCs w:val="22"/>
                <w:lang w:val="en-US"/>
              </w:rPr>
            </w:pPr>
            <w:r>
              <w:rPr>
                <w:rFonts w:hint="eastAsia" w:ascii="宋体" w:hAnsi="宋体" w:cs="宋体"/>
                <w:color w:val="000000"/>
                <w:kern w:val="0"/>
                <w:sz w:val="22"/>
                <w:szCs w:val="22"/>
                <w:lang w:val="en-US" w:eastAsia="zh-CN" w:bidi="ar-SA"/>
              </w:rPr>
              <w:t>27</w:t>
            </w:r>
          </w:p>
        </w:tc>
        <w:tc>
          <w:tcPr>
            <w:tcW w:w="1569" w:type="dxa"/>
            <w:shd w:val="clear" w:color="auto" w:fill="auto"/>
            <w:noWrap/>
            <w:vAlign w:val="center"/>
          </w:tcPr>
          <w:p w14:paraId="575C65A0">
            <w:pPr>
              <w:widowControl/>
              <w:spacing w:line="400" w:lineRule="exact"/>
              <w:rPr>
                <w:rFonts w:hint="default" w:eastAsia="宋体" w:cs="宋体" w:asciiTheme="minorEastAsia" w:hAnsiTheme="minorEastAsia"/>
                <w:color w:val="000000"/>
                <w:kern w:val="2"/>
                <w:sz w:val="22"/>
                <w:szCs w:val="22"/>
                <w:highlight w:val="none"/>
                <w:lang w:val="en-US" w:eastAsia="zh-CN" w:bidi="ar-SA"/>
              </w:rPr>
            </w:pPr>
            <w:r>
              <w:rPr>
                <w:rFonts w:hint="eastAsia" w:asciiTheme="minorEastAsia" w:hAnsiTheme="minorEastAsia"/>
                <w:color w:val="000000"/>
                <w:sz w:val="22"/>
                <w:szCs w:val="22"/>
                <w:highlight w:val="none"/>
              </w:rPr>
              <w:t>支付宝智慧医院小程序改造</w:t>
            </w:r>
          </w:p>
        </w:tc>
        <w:tc>
          <w:tcPr>
            <w:tcW w:w="8456" w:type="dxa"/>
            <w:shd w:val="clear" w:color="auto" w:fill="auto"/>
            <w:vAlign w:val="center"/>
          </w:tcPr>
          <w:p w14:paraId="73519427">
            <w:pPr>
              <w:widowControl/>
              <w:spacing w:line="400" w:lineRule="exact"/>
              <w:rPr>
                <w:rFonts w:hint="default" w:eastAsia="宋体" w:cs="宋体" w:asciiTheme="minorEastAsia" w:hAnsiTheme="minorEastAsia"/>
                <w:color w:val="000000"/>
                <w:kern w:val="0"/>
                <w:sz w:val="22"/>
                <w:szCs w:val="22"/>
                <w:highlight w:val="none"/>
                <w:lang w:val="en-US" w:eastAsia="zh-CN" w:bidi="ar-SA"/>
              </w:rPr>
            </w:pPr>
            <w:r>
              <w:rPr>
                <w:rFonts w:hint="eastAsia" w:cs="宋体" w:asciiTheme="minorEastAsia" w:hAnsiTheme="minorEastAsia"/>
                <w:color w:val="000000"/>
                <w:kern w:val="0"/>
                <w:sz w:val="22"/>
                <w:szCs w:val="22"/>
                <w:highlight w:val="none"/>
              </w:rPr>
              <w:t>支付宝小程序同步更新预约挂号和缴费分开的流程改造</w:t>
            </w:r>
          </w:p>
        </w:tc>
      </w:tr>
      <w:tr w14:paraId="5217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0184959D">
            <w:pPr>
              <w:pStyle w:val="28"/>
              <w:widowControl/>
              <w:numPr>
                <w:ilvl w:val="0"/>
                <w:numId w:val="0"/>
              </w:numPr>
              <w:spacing w:line="400" w:lineRule="exact"/>
              <w:ind w:left="440" w:leftChars="0" w:hanging="440" w:firstLineChars="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1569" w:type="dxa"/>
            <w:shd w:val="clear" w:color="auto" w:fill="auto"/>
            <w:noWrap/>
            <w:vAlign w:val="center"/>
          </w:tcPr>
          <w:p w14:paraId="24AA12B9">
            <w:pPr>
              <w:widowControl/>
              <w:spacing w:line="400" w:lineRule="exact"/>
              <w:rPr>
                <w:rFonts w:hint="eastAsia" w:eastAsia="宋体" w:cs="宋体" w:asciiTheme="minorEastAsia" w:hAnsiTheme="minorEastAsia"/>
                <w:color w:val="000000"/>
                <w:kern w:val="0"/>
                <w:sz w:val="22"/>
                <w:szCs w:val="22"/>
                <w:lang w:val="en-US" w:eastAsia="zh-CN" w:bidi="ar-SA"/>
              </w:rPr>
            </w:pPr>
            <w:r>
              <w:rPr>
                <w:rFonts w:hint="eastAsia"/>
                <w:color w:val="000000"/>
                <w:sz w:val="22"/>
                <w:szCs w:val="22"/>
              </w:rPr>
              <w:t>特色制剂购药</w:t>
            </w:r>
          </w:p>
        </w:tc>
        <w:tc>
          <w:tcPr>
            <w:tcW w:w="8456" w:type="dxa"/>
            <w:shd w:val="clear" w:color="auto" w:fill="auto"/>
            <w:vAlign w:val="center"/>
          </w:tcPr>
          <w:p w14:paraId="151D92FB">
            <w:pPr>
              <w:widowControl/>
              <w:spacing w:line="400" w:lineRule="exact"/>
              <w:rPr>
                <w:color w:val="000000"/>
                <w:sz w:val="22"/>
                <w:szCs w:val="22"/>
              </w:rPr>
            </w:pPr>
            <w:r>
              <w:rPr>
                <w:rFonts w:hint="eastAsia"/>
                <w:color w:val="000000"/>
                <w:sz w:val="22"/>
                <w:szCs w:val="22"/>
              </w:rPr>
              <w:t>支持复诊用户在线购买医院自制的特色制剂 (中药制剂、西药制剂)，无须多次往返医院。</w:t>
            </w:r>
          </w:p>
          <w:p w14:paraId="5D63F51C">
            <w:pPr>
              <w:pStyle w:val="22"/>
              <w:ind w:firstLine="0" w:firstLineChars="0"/>
              <w:rPr>
                <w:b w:val="0"/>
                <w:sz w:val="22"/>
                <w:szCs w:val="22"/>
              </w:rPr>
            </w:pPr>
            <w:r>
              <w:rPr>
                <w:rFonts w:hint="eastAsia"/>
                <w:b w:val="0"/>
                <w:sz w:val="22"/>
                <w:szCs w:val="22"/>
              </w:rPr>
              <w:t>患者端：自助购药申请、项目选择、问卷填写、支付及邮寄地址、取消购买、购买记录</w:t>
            </w:r>
          </w:p>
          <w:p w14:paraId="70990FDF">
            <w:pPr>
              <w:rPr>
                <w:rFonts w:hint="eastAsia" w:ascii="Calibri" w:hAnsi="Calibri" w:eastAsia="宋体" w:cs="宋体"/>
                <w:kern w:val="2"/>
                <w:sz w:val="22"/>
                <w:szCs w:val="22"/>
                <w:lang w:val="en-US" w:eastAsia="zh-CN" w:bidi="ar-SA"/>
              </w:rPr>
            </w:pPr>
            <w:r>
              <w:rPr>
                <w:rFonts w:hint="eastAsia"/>
                <w:sz w:val="22"/>
                <w:szCs w:val="22"/>
              </w:rPr>
              <w:t>管理PC端：业务规则配置、项目管理、购买记录查看、药品同步、药品问卷设置等</w:t>
            </w:r>
          </w:p>
        </w:tc>
      </w:tr>
      <w:tr w14:paraId="6E34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1" w:type="dxa"/>
            <w:vAlign w:val="center"/>
          </w:tcPr>
          <w:p w14:paraId="0D61031C">
            <w:pPr>
              <w:pStyle w:val="28"/>
              <w:widowControl/>
              <w:numPr>
                <w:ilvl w:val="0"/>
                <w:numId w:val="0"/>
              </w:numPr>
              <w:spacing w:line="400" w:lineRule="exact"/>
              <w:ind w:left="440" w:leftChars="0" w:hanging="440" w:firstLineChars="0"/>
              <w:jc w:val="center"/>
              <w:rPr>
                <w:rFonts w:hint="default" w:ascii="宋体" w:hAnsi="宋体" w:cs="宋体"/>
                <w:color w:val="000000"/>
                <w:kern w:val="0"/>
                <w:sz w:val="22"/>
                <w:szCs w:val="22"/>
                <w:lang w:val="en-US"/>
              </w:rPr>
            </w:pPr>
            <w:r>
              <w:rPr>
                <w:rFonts w:hint="eastAsia" w:ascii="宋体" w:hAnsi="宋体" w:eastAsia="宋体" w:cs="宋体"/>
                <w:color w:val="000000"/>
                <w:kern w:val="0"/>
                <w:sz w:val="22"/>
                <w:szCs w:val="22"/>
                <w:lang w:val="en-US" w:eastAsia="zh-CN" w:bidi="ar-SA"/>
              </w:rPr>
              <w:t>2</w:t>
            </w:r>
            <w:r>
              <w:rPr>
                <w:rFonts w:hint="eastAsia" w:ascii="宋体" w:hAnsi="宋体" w:cs="宋体"/>
                <w:color w:val="000000"/>
                <w:kern w:val="0"/>
                <w:sz w:val="22"/>
                <w:szCs w:val="22"/>
                <w:lang w:val="en-US" w:eastAsia="zh-CN" w:bidi="ar-SA"/>
              </w:rPr>
              <w:t>9</w:t>
            </w:r>
          </w:p>
        </w:tc>
        <w:tc>
          <w:tcPr>
            <w:tcW w:w="1569" w:type="dxa"/>
            <w:shd w:val="clear" w:color="auto" w:fill="auto"/>
            <w:noWrap/>
            <w:vAlign w:val="center"/>
          </w:tcPr>
          <w:p w14:paraId="5DBC4A83">
            <w:pPr>
              <w:widowControl/>
              <w:spacing w:line="400" w:lineRule="exact"/>
              <w:rPr>
                <w:rFonts w:hint="eastAsia" w:ascii="Calibri" w:hAnsi="Calibri" w:eastAsia="宋体" w:cs="宋体"/>
                <w:color w:val="000000"/>
                <w:kern w:val="2"/>
                <w:sz w:val="22"/>
                <w:szCs w:val="22"/>
                <w:highlight w:val="yellow"/>
                <w:lang w:val="en-US" w:eastAsia="zh-CN" w:bidi="ar-SA"/>
              </w:rPr>
            </w:pPr>
            <w:r>
              <w:rPr>
                <w:rFonts w:hint="eastAsia"/>
                <w:color w:val="000000"/>
                <w:sz w:val="22"/>
                <w:szCs w:val="22"/>
                <w:highlight w:val="none"/>
              </w:rPr>
              <w:t>移动医保接口</w:t>
            </w:r>
          </w:p>
        </w:tc>
        <w:tc>
          <w:tcPr>
            <w:tcW w:w="8456" w:type="dxa"/>
            <w:shd w:val="clear" w:color="auto" w:fill="auto"/>
            <w:vAlign w:val="top"/>
          </w:tcPr>
          <w:p w14:paraId="0F349FC9">
            <w:pPr>
              <w:widowControl/>
              <w:spacing w:line="400" w:lineRule="exact"/>
              <w:rPr>
                <w:color w:val="000000"/>
                <w:sz w:val="22"/>
                <w:szCs w:val="22"/>
                <w:highlight w:val="none"/>
              </w:rPr>
            </w:pPr>
            <w:r>
              <w:rPr>
                <w:rFonts w:hint="eastAsia"/>
                <w:color w:val="000000"/>
                <w:sz w:val="22"/>
                <w:szCs w:val="22"/>
                <w:highlight w:val="none"/>
              </w:rPr>
              <w:t>1）His端移动支付接口改造</w:t>
            </w:r>
          </w:p>
          <w:p w14:paraId="1BEF534B">
            <w:pPr>
              <w:widowControl/>
              <w:spacing w:line="400" w:lineRule="exact"/>
              <w:rPr>
                <w:color w:val="000000"/>
                <w:sz w:val="22"/>
                <w:szCs w:val="22"/>
                <w:highlight w:val="none"/>
              </w:rPr>
            </w:pPr>
            <w:r>
              <w:rPr>
                <w:rFonts w:hint="eastAsia"/>
                <w:color w:val="000000"/>
                <w:sz w:val="22"/>
                <w:szCs w:val="22"/>
                <w:highlight w:val="none"/>
              </w:rPr>
              <w:t>按医保局的技术标准要求和技术规范，做对应的接口改造，实现以下接口对应功能事项。</w:t>
            </w:r>
          </w:p>
          <w:p w14:paraId="158868D5">
            <w:pPr>
              <w:widowControl/>
              <w:spacing w:line="400" w:lineRule="exact"/>
              <w:rPr>
                <w:color w:val="000000"/>
                <w:sz w:val="22"/>
                <w:szCs w:val="22"/>
                <w:highlight w:val="none"/>
              </w:rPr>
            </w:pPr>
            <w:r>
              <w:rPr>
                <w:rFonts w:hint="eastAsia"/>
                <w:color w:val="000000"/>
                <w:sz w:val="22"/>
                <w:szCs w:val="22"/>
                <w:highlight w:val="none"/>
              </w:rPr>
              <w:t>2）作为该项目的总协调，协调医院方、银行方、微信方、his方的各项工作，开展移动支付的相关工作</w:t>
            </w:r>
          </w:p>
          <w:p w14:paraId="7F8FCECC">
            <w:pPr>
              <w:widowControl/>
              <w:spacing w:line="400" w:lineRule="exact"/>
              <w:rPr>
                <w:color w:val="000000"/>
                <w:sz w:val="22"/>
                <w:szCs w:val="22"/>
                <w:highlight w:val="none"/>
              </w:rPr>
            </w:pPr>
            <w:r>
              <w:rPr>
                <w:rFonts w:hint="eastAsia"/>
                <w:color w:val="000000"/>
                <w:sz w:val="22"/>
                <w:szCs w:val="22"/>
                <w:highlight w:val="none"/>
              </w:rPr>
              <w:t>3）加解密服务：实现医保国密算法的加解密和签名生成服务，实现与医保移动中台的系统对接</w:t>
            </w:r>
          </w:p>
          <w:p w14:paraId="514A7208">
            <w:pPr>
              <w:widowControl/>
              <w:spacing w:line="400" w:lineRule="exact"/>
              <w:rPr>
                <w:color w:val="000000"/>
                <w:sz w:val="22"/>
                <w:szCs w:val="22"/>
                <w:highlight w:val="none"/>
              </w:rPr>
            </w:pPr>
            <w:r>
              <w:rPr>
                <w:rFonts w:hint="eastAsia"/>
                <w:color w:val="000000"/>
                <w:sz w:val="22"/>
                <w:szCs w:val="22"/>
                <w:highlight w:val="none"/>
              </w:rPr>
              <w:t>4）院端智慧医院渠道实现跟银行端、微信端的接口交互</w:t>
            </w:r>
          </w:p>
          <w:p w14:paraId="742D9580">
            <w:pPr>
              <w:widowControl/>
              <w:spacing w:line="400" w:lineRule="exact"/>
              <w:rPr>
                <w:color w:val="000000"/>
                <w:sz w:val="22"/>
                <w:szCs w:val="22"/>
                <w:highlight w:val="none"/>
              </w:rPr>
            </w:pPr>
            <w:r>
              <w:rPr>
                <w:rFonts w:hint="eastAsia"/>
                <w:color w:val="000000"/>
                <w:sz w:val="22"/>
                <w:szCs w:val="22"/>
                <w:highlight w:val="none"/>
              </w:rPr>
              <w:t>5）院端渠道前端开发</w:t>
            </w:r>
          </w:p>
          <w:p w14:paraId="79D9513F">
            <w:pPr>
              <w:widowControl/>
              <w:spacing w:line="400" w:lineRule="exact"/>
              <w:rPr>
                <w:color w:val="000000"/>
                <w:sz w:val="22"/>
                <w:szCs w:val="22"/>
                <w:highlight w:val="none"/>
              </w:rPr>
            </w:pPr>
            <w:r>
              <w:rPr>
                <w:rFonts w:hint="eastAsia"/>
                <w:color w:val="000000"/>
                <w:sz w:val="22"/>
                <w:szCs w:val="22"/>
                <w:highlight w:val="none"/>
              </w:rPr>
              <w:t>院端渠道（微信）页面的开发，开发的页面如下：待缴费页面、预结算页面、结算结果页面</w:t>
            </w:r>
          </w:p>
          <w:p w14:paraId="132AEBAE">
            <w:pPr>
              <w:widowControl/>
              <w:spacing w:line="400" w:lineRule="exact"/>
              <w:rPr>
                <w:color w:val="000000"/>
                <w:sz w:val="22"/>
                <w:szCs w:val="22"/>
                <w:highlight w:val="none"/>
              </w:rPr>
            </w:pPr>
            <w:r>
              <w:rPr>
                <w:rFonts w:hint="eastAsia"/>
                <w:color w:val="000000"/>
                <w:sz w:val="22"/>
                <w:szCs w:val="22"/>
                <w:highlight w:val="none"/>
              </w:rPr>
              <w:t>6）院端渠道移动支付后端开发</w:t>
            </w:r>
          </w:p>
          <w:p w14:paraId="25ACF629">
            <w:pPr>
              <w:widowControl/>
              <w:spacing w:line="400" w:lineRule="exact"/>
              <w:rPr>
                <w:color w:val="000000"/>
                <w:sz w:val="22"/>
                <w:szCs w:val="22"/>
                <w:highlight w:val="none"/>
              </w:rPr>
            </w:pPr>
            <w:r>
              <w:rPr>
                <w:rFonts w:hint="eastAsia"/>
                <w:color w:val="000000"/>
                <w:sz w:val="22"/>
                <w:szCs w:val="22"/>
                <w:highlight w:val="none"/>
              </w:rPr>
              <w:t>院端渠道实现跟微信端的接口交互，包括如下： 6202支付下单接口、银行下单接口、微信下单接口、h6506机构下单接口</w:t>
            </w:r>
          </w:p>
          <w:p w14:paraId="54749904">
            <w:pPr>
              <w:widowControl/>
              <w:spacing w:line="400" w:lineRule="exact"/>
              <w:rPr>
                <w:color w:val="000000"/>
                <w:sz w:val="22"/>
                <w:szCs w:val="22"/>
                <w:highlight w:val="none"/>
              </w:rPr>
            </w:pPr>
            <w:r>
              <w:rPr>
                <w:rFonts w:hint="eastAsia"/>
                <w:color w:val="000000"/>
                <w:sz w:val="22"/>
                <w:szCs w:val="22"/>
                <w:highlight w:val="none"/>
              </w:rPr>
              <w:t>7）流程讲解，接口文档讲解，HIS开发指导、测试联调服务等</w:t>
            </w:r>
          </w:p>
          <w:p w14:paraId="257B8818">
            <w:pPr>
              <w:widowControl/>
              <w:spacing w:line="400" w:lineRule="exact"/>
              <w:rPr>
                <w:rFonts w:hint="eastAsia" w:ascii="Ђˎ̥" w:hAnsi="Calibri" w:eastAsia="宋体" w:cs="宋体"/>
                <w:b w:val="0"/>
                <w:bCs/>
                <w:kern w:val="2"/>
                <w:sz w:val="22"/>
                <w:szCs w:val="22"/>
                <w:highlight w:val="none"/>
                <w:lang w:val="en-US" w:eastAsia="zh-CN" w:bidi="ar-SA"/>
              </w:rPr>
            </w:pPr>
            <w:r>
              <w:rPr>
                <w:rFonts w:hint="eastAsia"/>
                <w:color w:val="000000"/>
                <w:sz w:val="22"/>
                <w:szCs w:val="22"/>
                <w:highlight w:val="none"/>
              </w:rPr>
              <w:t>8）制作验收材料提交国家医保局审批</w:t>
            </w:r>
          </w:p>
        </w:tc>
      </w:tr>
    </w:tbl>
    <w:p w14:paraId="645AB59D">
      <w:pPr>
        <w:pStyle w:val="22"/>
        <w:ind w:firstLine="482"/>
      </w:pPr>
    </w:p>
    <w:p w14:paraId="5C627770">
      <w:r>
        <w:br w:type="page"/>
      </w:r>
    </w:p>
    <w:tbl>
      <w:tblPr>
        <w:tblStyle w:val="24"/>
        <w:tblpPr w:leftFromText="180" w:rightFromText="180" w:vertAnchor="text" w:horzAnchor="margin" w:tblpY="501"/>
        <w:tblW w:w="52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347"/>
        <w:gridCol w:w="8728"/>
      </w:tblGrid>
      <w:tr w14:paraId="6205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14:paraId="2B47AEC6">
            <w:pPr>
              <w:spacing w:line="480" w:lineRule="exact"/>
              <w:jc w:val="left"/>
              <w:rPr>
                <w:rFonts w:ascii="宋体" w:hAnsi="宋体"/>
                <w:b/>
                <w:sz w:val="18"/>
                <w:szCs w:val="18"/>
              </w:rPr>
            </w:pPr>
            <w:r>
              <w:rPr>
                <w:rFonts w:hint="eastAsia" w:ascii="宋体" w:hAnsi="宋体"/>
                <w:b/>
                <w:bCs/>
                <w:color w:val="FF0000"/>
                <w:sz w:val="24"/>
              </w:rPr>
              <w:t>（二）商务要求</w:t>
            </w:r>
          </w:p>
        </w:tc>
      </w:tr>
      <w:tr w14:paraId="6C62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6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2671BC4">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序号</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03ABA3B1">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商务条款</w:t>
            </w:r>
          </w:p>
        </w:tc>
        <w:tc>
          <w:tcPr>
            <w:tcW w:w="4103" w:type="pct"/>
            <w:tcBorders>
              <w:top w:val="single" w:color="auto" w:sz="4" w:space="0"/>
              <w:left w:val="single" w:color="auto" w:sz="4" w:space="0"/>
              <w:bottom w:val="single" w:color="auto" w:sz="4" w:space="0"/>
              <w:right w:val="single" w:color="auto" w:sz="4" w:space="0"/>
            </w:tcBorders>
            <w:noWrap w:val="0"/>
            <w:vAlign w:val="center"/>
          </w:tcPr>
          <w:p w14:paraId="6A46E42F">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商务要求</w:t>
            </w:r>
          </w:p>
        </w:tc>
      </w:tr>
      <w:tr w14:paraId="4A80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26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49D5625">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1</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3DC25A27">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lang w:val="en-US" w:eastAsia="zh-CN"/>
              </w:rPr>
              <w:t>交付时间及地点</w:t>
            </w:r>
          </w:p>
        </w:tc>
        <w:tc>
          <w:tcPr>
            <w:tcW w:w="4103" w:type="pct"/>
            <w:tcBorders>
              <w:top w:val="single" w:color="auto" w:sz="4" w:space="0"/>
              <w:left w:val="single" w:color="auto" w:sz="4" w:space="0"/>
              <w:bottom w:val="single" w:color="auto" w:sz="4" w:space="0"/>
              <w:right w:val="single" w:color="auto" w:sz="4" w:space="0"/>
            </w:tcBorders>
            <w:noWrap w:val="0"/>
            <w:vAlign w:val="center"/>
          </w:tcPr>
          <w:p w14:paraId="48F75F2B">
            <w:pPr>
              <w:widowControl/>
              <w:spacing w:line="400" w:lineRule="exact"/>
              <w:rPr>
                <w:rFonts w:hint="eastAsia"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1、从合同签订之日起，90日内按合同约定完成在线交付。。</w:t>
            </w:r>
          </w:p>
          <w:p w14:paraId="6731D677">
            <w:pPr>
              <w:widowControl/>
              <w:spacing w:line="400" w:lineRule="exact"/>
              <w:rPr>
                <w:rFonts w:hint="eastAsia"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2、服务地点：广西南宁市华东路10号。</w:t>
            </w:r>
          </w:p>
        </w:tc>
      </w:tr>
      <w:tr w14:paraId="4C52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26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811E45D">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2</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28D2B10">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lang w:val="en-US" w:eastAsia="zh-CN"/>
              </w:rPr>
              <w:t>质保期</w:t>
            </w:r>
          </w:p>
        </w:tc>
        <w:tc>
          <w:tcPr>
            <w:tcW w:w="8728" w:type="dxa"/>
            <w:tcBorders>
              <w:top w:val="single" w:color="auto" w:sz="4" w:space="0"/>
              <w:left w:val="single" w:color="auto" w:sz="4" w:space="0"/>
              <w:bottom w:val="single" w:color="auto" w:sz="4" w:space="0"/>
              <w:right w:val="single" w:color="auto" w:sz="4" w:space="0"/>
            </w:tcBorders>
            <w:noWrap w:val="0"/>
            <w:vAlign w:val="center"/>
          </w:tcPr>
          <w:p w14:paraId="24373AB1">
            <w:pPr>
              <w:widowControl/>
              <w:spacing w:line="400" w:lineRule="exact"/>
              <w:rPr>
                <w:rFonts w:hint="eastAsia"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除特别说明外，自系统上线正式使用之日起免费壹年质保服务；医院更换核心业务：HIS、电子病历等相关系统，免费做好系统对接。</w:t>
            </w:r>
          </w:p>
        </w:tc>
      </w:tr>
      <w:tr w14:paraId="1C25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26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517DA51">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2</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67D0847E">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售后服务要求</w:t>
            </w:r>
          </w:p>
        </w:tc>
        <w:tc>
          <w:tcPr>
            <w:tcW w:w="4103" w:type="pct"/>
            <w:tcBorders>
              <w:top w:val="single" w:color="auto" w:sz="4" w:space="0"/>
              <w:left w:val="single" w:color="auto" w:sz="4" w:space="0"/>
              <w:bottom w:val="single" w:color="auto" w:sz="4" w:space="0"/>
              <w:right w:val="single" w:color="auto" w:sz="4" w:space="0"/>
            </w:tcBorders>
            <w:noWrap w:val="0"/>
            <w:vAlign w:val="center"/>
          </w:tcPr>
          <w:p w14:paraId="3BE485CF">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▲1、成交供应商接到故障通知30分钟内响应，紧急情况1小时内到现场处理。</w:t>
            </w:r>
          </w:p>
          <w:p w14:paraId="37A9E313">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2、磋商时请提供售后服务承诺书（至少包含：明确保修期、免费软件升级、故障响应时间、免费专业培训内容、售后服务工程师名单和联系方式）；技术支持：包括即时回答提出的问题。</w:t>
            </w:r>
          </w:p>
        </w:tc>
      </w:tr>
      <w:tr w14:paraId="4EB8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26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2588B2A">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3</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70CF15EC">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付款条件</w:t>
            </w:r>
          </w:p>
        </w:tc>
        <w:tc>
          <w:tcPr>
            <w:tcW w:w="4103" w:type="pct"/>
            <w:tcBorders>
              <w:top w:val="single" w:color="auto" w:sz="4" w:space="0"/>
              <w:left w:val="single" w:color="auto" w:sz="4" w:space="0"/>
              <w:bottom w:val="single" w:color="auto" w:sz="4" w:space="0"/>
              <w:right w:val="single" w:color="auto" w:sz="4" w:space="0"/>
            </w:tcBorders>
            <w:noWrap w:val="0"/>
            <w:vAlign w:val="center"/>
          </w:tcPr>
          <w:p w14:paraId="39F13D94">
            <w:pPr>
              <w:widowControl/>
              <w:spacing w:line="400" w:lineRule="exact"/>
              <w:rPr>
                <w:rFonts w:hint="eastAsia" w:eastAsia="宋体" w:cs="宋体"/>
                <w:color w:val="000000"/>
                <w:sz w:val="22"/>
                <w:szCs w:val="22"/>
                <w:highlight w:val="none"/>
                <w:lang w:val="en-US" w:eastAsia="zh-CN"/>
              </w:rPr>
            </w:pPr>
            <w:r>
              <w:rPr>
                <w:rFonts w:hint="eastAsia" w:eastAsia="宋体" w:cs="宋体"/>
                <w:color w:val="000000"/>
                <w:sz w:val="22"/>
                <w:szCs w:val="22"/>
                <w:highlight w:val="none"/>
                <w:lang w:val="en-US" w:eastAsia="zh-CN"/>
              </w:rPr>
              <w:t>签订合同之前，成交供应商交3%合同金额作为履约保证金到采购方指定帐号。</w:t>
            </w:r>
          </w:p>
          <w:p w14:paraId="49789BBE">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签订合同后</w:t>
            </w:r>
            <w:r>
              <w:rPr>
                <w:rFonts w:hint="eastAsia" w:eastAsia="宋体" w:cs="宋体"/>
                <w:color w:val="000000"/>
                <w:sz w:val="22"/>
                <w:szCs w:val="22"/>
                <w:highlight w:val="none"/>
                <w:lang w:val="en-US" w:eastAsia="zh-CN"/>
              </w:rPr>
              <w:t>采购人</w:t>
            </w:r>
            <w:r>
              <w:rPr>
                <w:rFonts w:hint="eastAsia" w:eastAsia="宋体" w:cs="宋体"/>
                <w:color w:val="000000"/>
                <w:sz w:val="22"/>
                <w:szCs w:val="22"/>
                <w:highlight w:val="none"/>
              </w:rPr>
              <w:t>以转帐的方式支付</w:t>
            </w:r>
            <w:r>
              <w:rPr>
                <w:rFonts w:hint="eastAsia" w:eastAsia="宋体" w:cs="宋体"/>
                <w:color w:val="000000"/>
                <w:sz w:val="22"/>
                <w:szCs w:val="22"/>
                <w:highlight w:val="none"/>
                <w:lang w:val="en-US" w:eastAsia="zh-CN"/>
              </w:rPr>
              <w:t>成交供应商50%货款</w:t>
            </w:r>
            <w:r>
              <w:rPr>
                <w:rFonts w:hint="eastAsia" w:eastAsia="宋体" w:cs="宋体"/>
                <w:color w:val="000000"/>
                <w:sz w:val="22"/>
                <w:szCs w:val="22"/>
                <w:highlight w:val="none"/>
              </w:rPr>
              <w:t>；</w:t>
            </w:r>
            <w:r>
              <w:rPr>
                <w:rFonts w:hint="eastAsia" w:eastAsia="宋体" w:cs="宋体"/>
                <w:color w:val="000000"/>
                <w:sz w:val="22"/>
                <w:szCs w:val="22"/>
                <w:highlight w:val="none"/>
                <w:lang w:val="en-US" w:eastAsia="zh-CN"/>
              </w:rPr>
              <w:t>交货安装调试完毕并验收合格之日起10个工作日内采购人以转帐的方式支付成交供应商50%货款，付款前成交供应商须开具全额发票给采购人。验收一年后若无质量问题，采购人返回履约保证金给成交供应商（无息）。</w:t>
            </w:r>
          </w:p>
        </w:tc>
      </w:tr>
      <w:tr w14:paraId="4EBB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4" w:hRule="atLeast"/>
        </w:trPr>
        <w:tc>
          <w:tcPr>
            <w:tcW w:w="264"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F0EB618">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4</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06C89C4D">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其他要求</w:t>
            </w:r>
          </w:p>
        </w:tc>
        <w:tc>
          <w:tcPr>
            <w:tcW w:w="4103" w:type="pct"/>
            <w:tcBorders>
              <w:top w:val="single" w:color="auto" w:sz="4" w:space="0"/>
              <w:left w:val="single" w:color="auto" w:sz="4" w:space="0"/>
              <w:bottom w:val="single" w:color="auto" w:sz="4" w:space="0"/>
              <w:right w:val="single" w:color="auto" w:sz="4" w:space="0"/>
            </w:tcBorders>
            <w:noWrap w:val="0"/>
            <w:vAlign w:val="center"/>
          </w:tcPr>
          <w:p w14:paraId="30F4BEC8">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一、总体要求</w:t>
            </w:r>
          </w:p>
          <w:p w14:paraId="5F847EB1">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1、成交供应商可根据项目要求，在竞标文件中提出项目服务方案、信誉业绩材料。</w:t>
            </w:r>
          </w:p>
          <w:p w14:paraId="0867B5C4">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二、验收要求及标准</w:t>
            </w:r>
          </w:p>
          <w:p w14:paraId="0706C6F1">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1、根据采购需求的要求进行验收。</w:t>
            </w:r>
            <w:bookmarkStart w:id="1" w:name="_GoBack"/>
            <w:bookmarkEnd w:id="1"/>
          </w:p>
          <w:p w14:paraId="1192DA6F">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三、售后及其它要求</w:t>
            </w:r>
          </w:p>
          <w:p w14:paraId="1E42E25C">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1、竞标总报价以人民币报价，应包括实施和完成该项目所需的设备和服务、税费等一切费用。因磋商供应商自身原因造成漏报、少报皆由磋商供应商自行承担责任，采购人不再补偿。除政策性文件规定以外，磋商供应商所报价格在合同实施期间不因市场变化因素而变动。</w:t>
            </w:r>
          </w:p>
          <w:p w14:paraId="16B4902B">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2、磋商供应商须为本项目服务实施投入充足的服务人员，并确保竞标文件中的人员信息真实、有效。</w:t>
            </w:r>
          </w:p>
          <w:p w14:paraId="38E72568">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3、未经采购人允许，不得使用或以其它方式给任何第三方提供本项目的相关信息或数据。</w:t>
            </w:r>
          </w:p>
          <w:p w14:paraId="7570C24E">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4、成交人不得将项目非法分包或转包给任何单位和个人，否则采购人有权即刻终止合同，并要求成交人赔偿相应损失。</w:t>
            </w:r>
          </w:p>
          <w:p w14:paraId="08E2D9D1">
            <w:pPr>
              <w:widowControl/>
              <w:spacing w:line="400" w:lineRule="exact"/>
              <w:rPr>
                <w:rFonts w:hint="eastAsia" w:eastAsia="宋体" w:cs="宋体"/>
                <w:color w:val="000000"/>
                <w:sz w:val="22"/>
                <w:szCs w:val="22"/>
                <w:highlight w:val="none"/>
              </w:rPr>
            </w:pPr>
            <w:r>
              <w:rPr>
                <w:rFonts w:hint="eastAsia" w:eastAsia="宋体" w:cs="宋体"/>
                <w:color w:val="000000"/>
                <w:sz w:val="22"/>
                <w:szCs w:val="22"/>
                <w:highlight w:val="none"/>
              </w:rPr>
              <w:t>5、知识产权：采购人在中华人民共和国境内使用成交人提供的产品及服务时免受第三方提出的侵犯其专利权或其它知识产权的起诉。如果第三方提出侵权指控，成交人应承担由此而引起的一切法律责任和费用。</w:t>
            </w:r>
          </w:p>
        </w:tc>
      </w:tr>
    </w:tbl>
    <w:p w14:paraId="3C6C00AA">
      <w:pPr>
        <w:widowControl/>
        <w:spacing w:line="400" w:lineRule="exact"/>
        <w:rPr>
          <w:rFonts w:hint="eastAsia" w:eastAsia="宋体" w:cs="宋体"/>
          <w:color w:val="000000"/>
          <w:sz w:val="22"/>
          <w:szCs w:val="22"/>
          <w:highlight w:val="none"/>
        </w:rPr>
      </w:pPr>
    </w:p>
    <w:p w14:paraId="01BC6153">
      <w:pPr>
        <w:widowControl/>
        <w:spacing w:line="400" w:lineRule="exact"/>
        <w:rPr>
          <w:rFonts w:hint="default" w:eastAsia="宋体" w:cs="宋体"/>
          <w:color w:val="000000"/>
          <w:sz w:val="22"/>
          <w:szCs w:val="22"/>
          <w:highlight w:val="none"/>
          <w:lang w:val="en-US" w:eastAsia="zh-CN"/>
        </w:rPr>
      </w:pPr>
    </w:p>
    <w:sectPr>
      <w:footerReference r:id="rId5" w:type="default"/>
      <w:pgSz w:w="11906" w:h="16838"/>
      <w:pgMar w:top="879" w:right="850" w:bottom="873" w:left="850" w:header="851" w:footer="485"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jaVu Sans">
    <w:altName w:val="Verdana"/>
    <w:panose1 w:val="00000000000000000000"/>
    <w:charset w:val="00"/>
    <w:family w:val="roman"/>
    <w:pitch w:val="default"/>
    <w:sig w:usb0="00000000" w:usb1="00000000" w:usb2="00000008" w:usb3="00000000" w:csb0="000001FF" w:csb1="00000000"/>
  </w:font>
  <w:font w:name="Verdana">
    <w:panose1 w:val="020B0604030504040204"/>
    <w:charset w:val="00"/>
    <w:family w:val="auto"/>
    <w:pitch w:val="default"/>
    <w:sig w:usb0="A00006FF" w:usb1="4000205B" w:usb2="00000010" w:usb3="00000000" w:csb0="2000019F" w:csb1="0000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Ђˎ̥">
    <w:altName w:val="宋体"/>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65135">
    <w:pPr>
      <w:pStyle w:val="17"/>
      <w:jc w:val="cente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8"/>
    <w:multiLevelType w:val="multilevel"/>
    <w:tmpl w:val="00000008"/>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lvl>
    <w:lvl w:ilvl="3" w:tentative="0">
      <w:start w:val="1"/>
      <w:numFmt w:val="decimal"/>
      <w:pStyle w:val="5"/>
      <w:lvlText w:val="4.3.5.%4"/>
      <w:lvlJc w:val="left"/>
      <w:pPr>
        <w:ind w:left="864" w:hanging="864"/>
      </w:pPr>
      <w:rPr>
        <w:rFonts w:hint="default" w:ascii="宋体" w:hAnsi="宋体" w:eastAsia="宋体" w:cs="宋体"/>
        <w:b/>
        <w:bCs w:val="0"/>
        <w:i w:val="0"/>
        <w:iCs w:val="0"/>
        <w:caps w:val="0"/>
        <w:smallCaps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5686" w:hanging="1008"/>
      </w:pPr>
      <w:rPr>
        <w:sz w:val="24"/>
        <w:szCs w:val="24"/>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EE5628"/>
    <w:rsid w:val="07703139"/>
    <w:rsid w:val="07AB1FB0"/>
    <w:rsid w:val="097A2A45"/>
    <w:rsid w:val="0AC4440B"/>
    <w:rsid w:val="0ED14B67"/>
    <w:rsid w:val="138D4C0F"/>
    <w:rsid w:val="15F97382"/>
    <w:rsid w:val="17B65676"/>
    <w:rsid w:val="1887707D"/>
    <w:rsid w:val="19DD5DA9"/>
    <w:rsid w:val="21662A51"/>
    <w:rsid w:val="2BAC164F"/>
    <w:rsid w:val="2D4B38B1"/>
    <w:rsid w:val="2EEE550E"/>
    <w:rsid w:val="327A39E4"/>
    <w:rsid w:val="33C87120"/>
    <w:rsid w:val="3AF47336"/>
    <w:rsid w:val="3BA20EF0"/>
    <w:rsid w:val="3D540560"/>
    <w:rsid w:val="3DC53F8A"/>
    <w:rsid w:val="50022D99"/>
    <w:rsid w:val="52041D74"/>
    <w:rsid w:val="5B1B05A3"/>
    <w:rsid w:val="5F295B30"/>
    <w:rsid w:val="6D8A12B0"/>
    <w:rsid w:val="6EA75E92"/>
    <w:rsid w:val="6F153E55"/>
    <w:rsid w:val="6FC50CC6"/>
    <w:rsid w:val="77427994"/>
    <w:rsid w:val="7C2E6448"/>
    <w:rsid w:val="7FCE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宋体"/>
      <w:kern w:val="2"/>
      <w:sz w:val="24"/>
      <w:szCs w:val="32"/>
      <w:lang w:val="en-US" w:eastAsia="zh-CN" w:bidi="ar-SA"/>
    </w:rPr>
  </w:style>
  <w:style w:type="paragraph" w:styleId="2">
    <w:name w:val="heading 1"/>
    <w:basedOn w:val="1"/>
    <w:next w:val="1"/>
    <w:qFormat/>
    <w:uiPriority w:val="0"/>
    <w:pPr>
      <w:keepNext/>
      <w:keepLines/>
      <w:numPr>
        <w:ilvl w:val="0"/>
        <w:numId w:val="1"/>
      </w:numPr>
      <w:spacing w:before="156" w:beforeLines="50" w:after="156" w:afterLines="50"/>
      <w:outlineLvl w:val="0"/>
    </w:pPr>
    <w:rPr>
      <w:b/>
      <w:kern w:val="44"/>
      <w:sz w:val="32"/>
      <w:szCs w:val="20"/>
    </w:rPr>
  </w:style>
  <w:style w:type="paragraph" w:styleId="3">
    <w:name w:val="heading 2"/>
    <w:basedOn w:val="1"/>
    <w:next w:val="1"/>
    <w:link w:val="36"/>
    <w:qFormat/>
    <w:uiPriority w:val="0"/>
    <w:pPr>
      <w:keepNext/>
      <w:keepLines/>
      <w:numPr>
        <w:ilvl w:val="1"/>
        <w:numId w:val="1"/>
      </w:numPr>
      <w:spacing w:before="156" w:beforeLines="50" w:after="156" w:afterLines="50"/>
      <w:outlineLvl w:val="1"/>
    </w:pPr>
    <w:rPr>
      <w:rFonts w:ascii="宋体" w:hAnsi="宋体" w:cs="宋体"/>
      <w:b/>
      <w:sz w:val="28"/>
      <w:szCs w:val="22"/>
    </w:rPr>
  </w:style>
  <w:style w:type="paragraph" w:styleId="4">
    <w:name w:val="heading 3"/>
    <w:basedOn w:val="1"/>
    <w:next w:val="1"/>
    <w:qFormat/>
    <w:uiPriority w:val="0"/>
    <w:pPr>
      <w:keepNext/>
      <w:keepLines/>
      <w:numPr>
        <w:ilvl w:val="2"/>
        <w:numId w:val="1"/>
      </w:numPr>
      <w:outlineLvl w:val="2"/>
    </w:pPr>
    <w:rPr>
      <w:b/>
      <w:szCs w:val="36"/>
    </w:rPr>
  </w:style>
  <w:style w:type="paragraph" w:styleId="5">
    <w:name w:val="heading 4"/>
    <w:basedOn w:val="1"/>
    <w:next w:val="1"/>
    <w:qFormat/>
    <w:uiPriority w:val="0"/>
    <w:pPr>
      <w:keepNext/>
      <w:keepLines/>
      <w:numPr>
        <w:ilvl w:val="3"/>
        <w:numId w:val="2"/>
      </w:numPr>
      <w:spacing w:before="100" w:after="100"/>
      <w:outlineLvl w:val="3"/>
    </w:pPr>
    <w:rPr>
      <w:rFonts w:ascii="Calibri Light" w:hAnsi="Calibri Light"/>
      <w:b/>
      <w:bCs/>
      <w:szCs w:val="28"/>
    </w:rPr>
  </w:style>
  <w:style w:type="paragraph" w:styleId="6">
    <w:name w:val="heading 5"/>
    <w:basedOn w:val="1"/>
    <w:next w:val="1"/>
    <w:qFormat/>
    <w:uiPriority w:val="0"/>
    <w:pPr>
      <w:keepNext/>
      <w:keepLines/>
      <w:spacing w:before="280" w:after="290" w:line="372" w:lineRule="auto"/>
      <w:outlineLvl w:val="4"/>
    </w:pPr>
    <w:rPr>
      <w:b/>
      <w:sz w:val="28"/>
    </w:rPr>
  </w:style>
  <w:style w:type="paragraph" w:styleId="7">
    <w:name w:val="heading 6"/>
    <w:basedOn w:val="1"/>
    <w:next w:val="1"/>
    <w:link w:val="41"/>
    <w:qFormat/>
    <w:uiPriority w:val="0"/>
    <w:pPr>
      <w:keepNext/>
      <w:keepLines/>
      <w:tabs>
        <w:tab w:val="left" w:pos="1152"/>
      </w:tabs>
      <w:spacing w:before="240" w:after="64" w:line="317" w:lineRule="auto"/>
      <w:ind w:left="1151" w:hanging="1151"/>
      <w:jc w:val="both"/>
      <w:outlineLvl w:val="5"/>
    </w:pPr>
    <w:rPr>
      <w:rFonts w:ascii="DejaVu Sans" w:hAnsi="DejaVu Sans"/>
      <w:b/>
      <w:szCs w:val="24"/>
    </w:rPr>
  </w:style>
  <w:style w:type="paragraph" w:styleId="8">
    <w:name w:val="heading 7"/>
    <w:basedOn w:val="1"/>
    <w:next w:val="1"/>
    <w:link w:val="42"/>
    <w:qFormat/>
    <w:uiPriority w:val="0"/>
    <w:pPr>
      <w:keepNext/>
      <w:keepLines/>
      <w:tabs>
        <w:tab w:val="left" w:pos="1296"/>
      </w:tabs>
      <w:spacing w:before="240" w:after="64" w:line="317" w:lineRule="auto"/>
      <w:ind w:left="1296" w:hanging="1296"/>
      <w:jc w:val="both"/>
      <w:outlineLvl w:val="6"/>
    </w:pPr>
    <w:rPr>
      <w:b/>
      <w:szCs w:val="24"/>
    </w:rPr>
  </w:style>
  <w:style w:type="paragraph" w:styleId="9">
    <w:name w:val="heading 8"/>
    <w:basedOn w:val="1"/>
    <w:next w:val="1"/>
    <w:link w:val="43"/>
    <w:qFormat/>
    <w:uiPriority w:val="0"/>
    <w:pPr>
      <w:keepNext/>
      <w:keepLines/>
      <w:tabs>
        <w:tab w:val="left" w:pos="1440"/>
      </w:tabs>
      <w:spacing w:before="240" w:after="64" w:line="317" w:lineRule="auto"/>
      <w:ind w:left="1440" w:hanging="1440"/>
      <w:jc w:val="both"/>
      <w:outlineLvl w:val="7"/>
    </w:pPr>
    <w:rPr>
      <w:rFonts w:ascii="DejaVu Sans" w:hAnsi="DejaVu Sans" w:eastAsia="方正黑体_GBK"/>
      <w:szCs w:val="24"/>
    </w:rPr>
  </w:style>
  <w:style w:type="paragraph" w:styleId="10">
    <w:name w:val="heading 9"/>
    <w:basedOn w:val="1"/>
    <w:next w:val="1"/>
    <w:link w:val="44"/>
    <w:qFormat/>
    <w:uiPriority w:val="0"/>
    <w:pPr>
      <w:keepNext/>
      <w:keepLines/>
      <w:tabs>
        <w:tab w:val="left" w:pos="1584"/>
      </w:tabs>
      <w:spacing w:before="240" w:after="64" w:line="317" w:lineRule="auto"/>
      <w:ind w:left="1583" w:hanging="1583"/>
      <w:jc w:val="both"/>
      <w:outlineLvl w:val="8"/>
    </w:pPr>
    <w:rPr>
      <w:rFonts w:ascii="DejaVu Sans" w:hAnsi="DejaVu Sans" w:eastAsia="方正黑体_GBK"/>
      <w:sz w:val="21"/>
      <w:szCs w:val="24"/>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11">
    <w:name w:val="Normal Indent"/>
    <w:basedOn w:val="1"/>
    <w:next w:val="12"/>
    <w:qFormat/>
    <w:uiPriority w:val="0"/>
    <w:pPr>
      <w:spacing w:beforeLines="30" w:afterLines="30" w:line="240" w:lineRule="auto"/>
      <w:ind w:firstLine="200" w:firstLineChars="200"/>
    </w:pPr>
    <w:rPr>
      <w:bCs/>
      <w:kern w:val="0"/>
      <w:sz w:val="21"/>
      <w:szCs w:val="24"/>
      <w:lang w:bidi="he-IL"/>
    </w:rPr>
  </w:style>
  <w:style w:type="paragraph" w:customStyle="1" w:styleId="12">
    <w:name w:val="首行缩进"/>
    <w:basedOn w:val="1"/>
    <w:qFormat/>
    <w:uiPriority w:val="0"/>
    <w:pPr>
      <w:ind w:firstLine="200" w:firstLineChars="200"/>
    </w:pPr>
    <w:rPr>
      <w:szCs w:val="22"/>
    </w:rPr>
  </w:style>
  <w:style w:type="paragraph" w:styleId="13">
    <w:name w:val="annotation text"/>
    <w:basedOn w:val="1"/>
    <w:qFormat/>
    <w:uiPriority w:val="0"/>
  </w:style>
  <w:style w:type="paragraph" w:styleId="14">
    <w:name w:val="Body Text Indent"/>
    <w:basedOn w:val="1"/>
    <w:next w:val="15"/>
    <w:qFormat/>
    <w:uiPriority w:val="0"/>
    <w:pPr>
      <w:spacing w:after="120"/>
      <w:ind w:left="420" w:leftChars="200"/>
    </w:pPr>
  </w:style>
  <w:style w:type="paragraph" w:customStyle="1" w:styleId="15">
    <w:name w:val="样式 正文文本缩进 + 左  0 字符"/>
    <w:basedOn w:val="14"/>
    <w:qFormat/>
    <w:uiPriority w:val="0"/>
    <w:pPr>
      <w:spacing w:after="0"/>
      <w:ind w:left="0" w:leftChars="0" w:firstLine="250" w:firstLineChars="250"/>
    </w:pPr>
    <w:rPr>
      <w:rFonts w:cs="宋体"/>
    </w:rPr>
  </w:style>
  <w:style w:type="paragraph" w:styleId="16">
    <w:name w:val="toc 3"/>
    <w:basedOn w:val="1"/>
    <w:next w:val="1"/>
    <w:qFormat/>
    <w:uiPriority w:val="39"/>
    <w:pPr>
      <w:ind w:left="840" w:leftChars="400"/>
    </w:pPr>
  </w:style>
  <w:style w:type="paragraph" w:styleId="17">
    <w:name w:val="footer"/>
    <w:basedOn w:val="1"/>
    <w:link w:val="30"/>
    <w:qFormat/>
    <w:uiPriority w:val="99"/>
    <w:pPr>
      <w:tabs>
        <w:tab w:val="center" w:pos="4153"/>
        <w:tab w:val="right" w:pos="8306"/>
      </w:tabs>
      <w:snapToGrid w:val="0"/>
      <w:spacing w:line="240" w:lineRule="auto"/>
    </w:pPr>
    <w:rPr>
      <w:sz w:val="18"/>
      <w:szCs w:val="18"/>
    </w:rPr>
  </w:style>
  <w:style w:type="paragraph" w:styleId="18">
    <w:name w:val="header"/>
    <w:basedOn w:val="1"/>
    <w:link w:val="2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line="240" w:lineRule="auto"/>
    </w:pPr>
    <w:rPr>
      <w:rFonts w:ascii="宋体" w:hAnsi="宋体" w:cs="宋体"/>
      <w:kern w:val="0"/>
      <w:szCs w:val="24"/>
    </w:rPr>
  </w:style>
  <w:style w:type="paragraph" w:styleId="22">
    <w:name w:val="index 1"/>
    <w:basedOn w:val="1"/>
    <w:next w:val="1"/>
    <w:qFormat/>
    <w:uiPriority w:val="0"/>
    <w:pPr>
      <w:spacing w:line="400" w:lineRule="exact"/>
      <w:ind w:firstLine="420" w:firstLineChars="200"/>
    </w:pPr>
    <w:rPr>
      <w:rFonts w:ascii="Ђˎ̥"/>
      <w:b/>
    </w:rPr>
  </w:style>
  <w:style w:type="paragraph" w:styleId="23">
    <w:name w:val="Body Text First Indent 2"/>
    <w:basedOn w:val="14"/>
    <w:next w:val="11"/>
    <w:qFormat/>
    <w:uiPriority w:val="0"/>
    <w:pPr>
      <w:ind w:left="0" w:leftChars="0"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000FF"/>
      <w:u w:val="single"/>
    </w:rPr>
  </w:style>
  <w:style w:type="paragraph" w:styleId="28">
    <w:name w:val="List Paragraph"/>
    <w:basedOn w:val="1"/>
    <w:qFormat/>
    <w:uiPriority w:val="99"/>
    <w:pPr>
      <w:ind w:firstLine="420" w:firstLineChars="200"/>
    </w:pPr>
  </w:style>
  <w:style w:type="character" w:customStyle="1" w:styleId="29">
    <w:name w:val="页眉 字符"/>
    <w:basedOn w:val="26"/>
    <w:link w:val="18"/>
    <w:qFormat/>
    <w:uiPriority w:val="0"/>
    <w:rPr>
      <w:kern w:val="2"/>
      <w:sz w:val="18"/>
      <w:szCs w:val="18"/>
    </w:rPr>
  </w:style>
  <w:style w:type="character" w:customStyle="1" w:styleId="30">
    <w:name w:val="页脚 字符"/>
    <w:basedOn w:val="26"/>
    <w:link w:val="17"/>
    <w:qFormat/>
    <w:uiPriority w:val="99"/>
    <w:rPr>
      <w:kern w:val="2"/>
      <w:sz w:val="18"/>
      <w:szCs w:val="18"/>
    </w:rPr>
  </w:style>
  <w:style w:type="paragraph" w:customStyle="1" w:styleId="31">
    <w:name w:val="p1"/>
    <w:basedOn w:val="1"/>
    <w:qFormat/>
    <w:uiPriority w:val="0"/>
    <w:pPr>
      <w:widowControl/>
    </w:pPr>
    <w:rPr>
      <w:rFonts w:ascii="Arial" w:hAnsi="Arial" w:cs="Arial"/>
      <w:color w:val="323333"/>
      <w:kern w:val="0"/>
      <w:szCs w:val="21"/>
    </w:rPr>
  </w:style>
  <w:style w:type="paragraph" w:customStyle="1" w:styleId="32">
    <w:name w:val="列出段落1"/>
    <w:basedOn w:val="1"/>
    <w:qFormat/>
    <w:uiPriority w:val="34"/>
    <w:pPr>
      <w:ind w:firstLine="420" w:firstLineChars="200"/>
    </w:pPr>
  </w:style>
  <w:style w:type="paragraph" w:customStyle="1" w:styleId="33">
    <w:name w:val="列出段落11"/>
    <w:basedOn w:val="1"/>
    <w:qFormat/>
    <w:uiPriority w:val="34"/>
    <w:pPr>
      <w:ind w:firstLine="420" w:firstLineChars="200"/>
    </w:pPr>
    <w:rPr>
      <w:rFonts w:ascii="Calibri" w:hAnsi="Calibri" w:cs="黑体"/>
      <w:sz w:val="21"/>
      <w:szCs w:val="22"/>
    </w:rPr>
  </w:style>
  <w:style w:type="paragraph" w:customStyle="1" w:styleId="34">
    <w:name w:val="样式 正文缩进表正文正文非缩进特点四号段1标题4正文不缩进正文缩进 Char正文缩进1正文（首行缩进两字） ..."/>
    <w:basedOn w:val="11"/>
    <w:qFormat/>
    <w:uiPriority w:val="0"/>
    <w:pPr>
      <w:spacing w:line="360" w:lineRule="auto"/>
    </w:pPr>
    <w:rPr>
      <w:rFonts w:ascii="宋体" w:hAnsi="宋体" w:eastAsia="宋体" w:cs="宋体"/>
      <w:szCs w:val="20"/>
    </w:rPr>
  </w:style>
  <w:style w:type="paragraph" w:customStyle="1" w:styleId="35">
    <w:name w:val="段落正文"/>
    <w:basedOn w:val="1"/>
    <w:qFormat/>
    <w:uiPriority w:val="0"/>
    <w:pPr>
      <w:adjustRightInd w:val="0"/>
      <w:snapToGrid w:val="0"/>
      <w:spacing w:before="50" w:beforeLines="50" w:line="360" w:lineRule="atLeast"/>
      <w:ind w:left="102" w:firstLine="510"/>
    </w:pPr>
    <w:rPr>
      <w:spacing w:val="2"/>
    </w:rPr>
  </w:style>
  <w:style w:type="character" w:customStyle="1" w:styleId="36">
    <w:name w:val="标题 2 字符"/>
    <w:link w:val="3"/>
    <w:qFormat/>
    <w:uiPriority w:val="0"/>
    <w:rPr>
      <w:rFonts w:ascii="宋体" w:hAnsi="宋体" w:cs="宋体"/>
      <w:b/>
      <w:sz w:val="28"/>
      <w:szCs w:val="22"/>
    </w:rPr>
  </w:style>
  <w:style w:type="paragraph" w:customStyle="1" w:styleId="37">
    <w:name w:val="列出段落4"/>
    <w:basedOn w:val="1"/>
    <w:qFormat/>
    <w:uiPriority w:val="34"/>
    <w:pPr>
      <w:spacing w:line="240" w:lineRule="auto"/>
      <w:ind w:firstLine="420" w:firstLineChars="200"/>
    </w:pPr>
    <w:rPr>
      <w:rFonts w:ascii="Calibri" w:hAnsi="Calibri"/>
      <w:szCs w:val="22"/>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1">
    <w:name w:val="标题 6 字符"/>
    <w:basedOn w:val="26"/>
    <w:link w:val="7"/>
    <w:qFormat/>
    <w:uiPriority w:val="0"/>
    <w:rPr>
      <w:rFonts w:ascii="DejaVu Sans" w:hAnsi="DejaVu Sans"/>
      <w:b/>
      <w:kern w:val="2"/>
      <w:sz w:val="24"/>
      <w:szCs w:val="24"/>
    </w:rPr>
  </w:style>
  <w:style w:type="character" w:customStyle="1" w:styleId="42">
    <w:name w:val="标题 7 字符"/>
    <w:basedOn w:val="26"/>
    <w:link w:val="8"/>
    <w:qFormat/>
    <w:uiPriority w:val="0"/>
    <w:rPr>
      <w:b/>
      <w:kern w:val="2"/>
      <w:sz w:val="24"/>
      <w:szCs w:val="24"/>
    </w:rPr>
  </w:style>
  <w:style w:type="character" w:customStyle="1" w:styleId="43">
    <w:name w:val="标题 8 字符"/>
    <w:basedOn w:val="26"/>
    <w:link w:val="9"/>
    <w:qFormat/>
    <w:uiPriority w:val="0"/>
    <w:rPr>
      <w:rFonts w:ascii="DejaVu Sans" w:hAnsi="DejaVu Sans" w:eastAsia="方正黑体_GBK"/>
      <w:kern w:val="2"/>
      <w:sz w:val="24"/>
      <w:szCs w:val="24"/>
    </w:rPr>
  </w:style>
  <w:style w:type="character" w:customStyle="1" w:styleId="44">
    <w:name w:val="标题 9 字符"/>
    <w:basedOn w:val="26"/>
    <w:link w:val="10"/>
    <w:qFormat/>
    <w:uiPriority w:val="0"/>
    <w:rPr>
      <w:rFonts w:ascii="DejaVu Sans" w:hAnsi="DejaVu Sans" w:eastAsia="方正黑体_GBK"/>
      <w:kern w:val="2"/>
      <w:sz w:val="21"/>
      <w:szCs w:val="24"/>
    </w:rPr>
  </w:style>
  <w:style w:type="character" w:customStyle="1" w:styleId="45">
    <w:name w:val="font11"/>
    <w:basedOn w:val="26"/>
    <w:qFormat/>
    <w:uiPriority w:val="0"/>
    <w:rPr>
      <w:rFonts w:hint="eastAsia" w:ascii="宋体" w:hAnsi="宋体" w:eastAsia="宋体" w:cs="宋体"/>
      <w:b/>
      <w:bCs/>
      <w:color w:val="000000"/>
      <w:sz w:val="22"/>
      <w:szCs w:val="22"/>
      <w:u w:val="none"/>
    </w:rPr>
  </w:style>
  <w:style w:type="character" w:customStyle="1" w:styleId="46">
    <w:name w:val="font01"/>
    <w:basedOn w:val="26"/>
    <w:qFormat/>
    <w:uiPriority w:val="0"/>
    <w:rPr>
      <w:rFonts w:hint="eastAsia" w:ascii="宋体" w:hAnsi="宋体" w:eastAsia="宋体" w:cs="宋体"/>
      <w:color w:val="000000"/>
      <w:sz w:val="22"/>
      <w:szCs w:val="22"/>
      <w:u w:val="none"/>
    </w:rPr>
  </w:style>
  <w:style w:type="character" w:customStyle="1" w:styleId="47">
    <w:name w:val="font31"/>
    <w:basedOn w:val="26"/>
    <w:qFormat/>
    <w:uiPriority w:val="0"/>
    <w:rPr>
      <w:rFonts w:hint="eastAsia" w:ascii="微软雅黑" w:hAnsi="微软雅黑" w:eastAsia="微软雅黑" w:cs="微软雅黑"/>
      <w:color w:val="000000"/>
      <w:sz w:val="20"/>
      <w:szCs w:val="20"/>
      <w:u w:val="none"/>
    </w:rPr>
  </w:style>
  <w:style w:type="character" w:customStyle="1" w:styleId="48">
    <w:name w:val="font41"/>
    <w:basedOn w:val="26"/>
    <w:qFormat/>
    <w:uiPriority w:val="0"/>
    <w:rPr>
      <w:rFonts w:hint="eastAsia" w:ascii="微软雅黑" w:hAnsi="微软雅黑" w:eastAsia="微软雅黑" w:cs="微软雅黑"/>
      <w:color w:val="000000"/>
      <w:sz w:val="20"/>
      <w:szCs w:val="20"/>
      <w:u w:val="none"/>
    </w:rPr>
  </w:style>
  <w:style w:type="character" w:customStyle="1" w:styleId="49">
    <w:name w:val="font51"/>
    <w:basedOn w:val="26"/>
    <w:qFormat/>
    <w:uiPriority w:val="0"/>
    <w:rPr>
      <w:rFonts w:hint="eastAsia"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6451</Words>
  <Characters>6761</Characters>
  <Paragraphs>234</Paragraphs>
  <TotalTime>2</TotalTime>
  <ScaleCrop>false</ScaleCrop>
  <LinksUpToDate>false</LinksUpToDate>
  <CharactersWithSpaces>6843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2025-07-22T02:26:00Z</dcterms:created>
  <dc:creator>咕咕</dc:creator>
  <cp:lastModifiedBy>RE</cp:lastModifiedBy>
  <cp:lastPrinted>2025-08-04T02:48:00Z</cp:lastPrinted>
  <dcterms:modified xsi:type="dcterms:W3CDTF">2025-08-04T10:29:31Z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3233A5EC99B547B4AA239DB528809D30_13</vt:lpwstr>
  </property>
  <property fmtid="{D5CDD505-2E9C-101B-9397-08002B2CF9AE}" pid="4" name="KSOTemplateDocerSaveRecord">
    <vt:lpwstr>eyJoZGlkIjoiNzUzMmRiZDU0YzZhZDY1MTA5OWM0OGY1MDgyNjU5YTAiLCJ1c2VySWQiOiIzNjIzMDI2NTEifQ==</vt:lpwstr>
  </property>
</Properties>
</file>